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95DA1" w14:textId="42BF9527" w:rsidR="008C6CC1" w:rsidRDefault="005E68CD" w:rsidP="00201F97">
      <w:bookmarkStart w:id="0" w:name="_GoBack"/>
      <w:bookmarkEnd w:id="0"/>
      <w:r>
        <w:rPr>
          <w:noProof/>
          <w:lang w:val="en-GB" w:eastAsia="en-GB"/>
        </w:rPr>
        <w:drawing>
          <wp:inline distT="0" distB="0" distL="0" distR="0" wp14:anchorId="4AC9E36A" wp14:editId="77C4A544">
            <wp:extent cx="6300470" cy="3367405"/>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00470" cy="3367405"/>
                    </a:xfrm>
                    <a:prstGeom prst="rect">
                      <a:avLst/>
                    </a:prstGeom>
                  </pic:spPr>
                </pic:pic>
              </a:graphicData>
            </a:graphic>
          </wp:inline>
        </w:drawing>
      </w:r>
    </w:p>
    <w:p w14:paraId="01700D86" w14:textId="77777777" w:rsidR="006F7B35" w:rsidRPr="005F2428" w:rsidRDefault="006F7B35" w:rsidP="005F2428">
      <w:pPr>
        <w:tabs>
          <w:tab w:val="left" w:pos="284"/>
        </w:tabs>
        <w:spacing w:line="240" w:lineRule="auto"/>
        <w:jc w:val="center"/>
        <w:rPr>
          <w:rFonts w:ascii="Georgia" w:hAnsi="Georgia" w:cs="Arial"/>
          <w:b/>
          <w:bCs/>
          <w:sz w:val="28"/>
          <w:szCs w:val="28"/>
          <w:lang w:val="en-US" w:eastAsia="de-CH"/>
        </w:rPr>
      </w:pPr>
      <w:r w:rsidRPr="005F2428">
        <w:rPr>
          <w:rFonts w:ascii="Georgia" w:hAnsi="Georgia" w:cs="Arial"/>
          <w:b/>
          <w:bCs/>
          <w:sz w:val="28"/>
          <w:szCs w:val="28"/>
          <w:lang w:val="en-US" w:eastAsia="de-CH"/>
        </w:rPr>
        <w:t>Call for Papers</w:t>
      </w:r>
    </w:p>
    <w:p w14:paraId="42C38EDE" w14:textId="46ECA5B4" w:rsidR="006F7B35" w:rsidRPr="006F7B35" w:rsidRDefault="005E68CD" w:rsidP="005F2428">
      <w:pPr>
        <w:tabs>
          <w:tab w:val="left" w:pos="284"/>
        </w:tabs>
        <w:spacing w:line="240" w:lineRule="auto"/>
        <w:jc w:val="center"/>
        <w:rPr>
          <w:rFonts w:ascii="Georgia" w:hAnsi="Georgia" w:cs="Arial"/>
          <w:sz w:val="21"/>
          <w:szCs w:val="21"/>
          <w:lang w:val="en-US" w:eastAsia="de-CH"/>
        </w:rPr>
      </w:pPr>
      <w:r>
        <w:rPr>
          <w:rFonts w:ascii="Georgia" w:hAnsi="Georgia" w:cs="Arial"/>
          <w:sz w:val="21"/>
          <w:szCs w:val="21"/>
          <w:lang w:val="en-US" w:eastAsia="de-CH"/>
        </w:rPr>
        <w:t>Maastricht Observatory for Responsible, Resilient and Sustainable Societies, Economies and Enterprises</w:t>
      </w:r>
    </w:p>
    <w:p w14:paraId="47159D71" w14:textId="299306BB" w:rsidR="006F7B35" w:rsidRDefault="005E68CD" w:rsidP="005F2428">
      <w:pPr>
        <w:tabs>
          <w:tab w:val="left" w:pos="284"/>
        </w:tabs>
        <w:spacing w:line="240" w:lineRule="auto"/>
        <w:jc w:val="center"/>
        <w:rPr>
          <w:rFonts w:ascii="Georgia" w:hAnsi="Georgia" w:cs="Arial"/>
          <w:sz w:val="21"/>
          <w:szCs w:val="21"/>
          <w:lang w:val="en-US" w:eastAsia="de-CH"/>
        </w:rPr>
      </w:pPr>
      <w:r>
        <w:rPr>
          <w:rFonts w:ascii="Georgia" w:hAnsi="Georgia" w:cs="Arial"/>
          <w:sz w:val="21"/>
          <w:szCs w:val="21"/>
          <w:lang w:val="en-US" w:eastAsia="de-CH"/>
        </w:rPr>
        <w:t>3rd</w:t>
      </w:r>
      <w:r w:rsidR="006F7B35" w:rsidRPr="006F7B35">
        <w:rPr>
          <w:rFonts w:ascii="Georgia" w:hAnsi="Georgia" w:cs="Arial"/>
          <w:sz w:val="21"/>
          <w:szCs w:val="21"/>
          <w:lang w:val="en-US" w:eastAsia="de-CH"/>
        </w:rPr>
        <w:t xml:space="preserve"> Annual Conference 20</w:t>
      </w:r>
      <w:r w:rsidR="006E7649">
        <w:rPr>
          <w:rFonts w:ascii="Georgia" w:hAnsi="Georgia" w:cs="Arial"/>
          <w:sz w:val="21"/>
          <w:szCs w:val="21"/>
          <w:lang w:val="en-US" w:eastAsia="de-CH"/>
        </w:rPr>
        <w:t>2</w:t>
      </w:r>
      <w:r>
        <w:rPr>
          <w:rFonts w:ascii="Georgia" w:hAnsi="Georgia" w:cs="Arial"/>
          <w:sz w:val="21"/>
          <w:szCs w:val="21"/>
          <w:lang w:val="en-US" w:eastAsia="de-CH"/>
        </w:rPr>
        <w:t>3</w:t>
      </w:r>
    </w:p>
    <w:p w14:paraId="1749C610" w14:textId="0CF2BAEE" w:rsidR="00201F97" w:rsidRPr="00641444" w:rsidRDefault="00201F97" w:rsidP="00201F97">
      <w:pPr>
        <w:pBdr>
          <w:between w:val="single" w:sz="4" w:space="1" w:color="44546A" w:themeColor="text2"/>
        </w:pBdr>
        <w:tabs>
          <w:tab w:val="left" w:pos="284"/>
        </w:tabs>
        <w:jc w:val="center"/>
        <w:rPr>
          <w:rFonts w:ascii="Georgia" w:hAnsi="Georgia" w:cs="Arial"/>
          <w:b/>
          <w:sz w:val="30"/>
          <w:szCs w:val="30"/>
          <w:lang w:val="en-US" w:eastAsia="de-CH"/>
        </w:rPr>
      </w:pPr>
      <w:r w:rsidRPr="00641444">
        <w:rPr>
          <w:rFonts w:ascii="Georgia" w:hAnsi="Georgia" w:cs="Arial"/>
          <w:b/>
          <w:sz w:val="30"/>
          <w:szCs w:val="30"/>
          <w:lang w:val="en-US" w:eastAsia="de-CH"/>
        </w:rPr>
        <w:t xml:space="preserve">Track: </w:t>
      </w:r>
      <w:r w:rsidR="00074849">
        <w:rPr>
          <w:rFonts w:ascii="Georgia" w:hAnsi="Georgia" w:cs="Arial"/>
          <w:b/>
          <w:sz w:val="30"/>
          <w:szCs w:val="30"/>
          <w:lang w:val="en-US" w:eastAsia="de-CH"/>
        </w:rPr>
        <w:t>Finance and Resilience</w:t>
      </w:r>
    </w:p>
    <w:p w14:paraId="241E2058" w14:textId="755BABA4" w:rsidR="005F2428" w:rsidRPr="00641444" w:rsidRDefault="005F2428" w:rsidP="005F2428">
      <w:pPr>
        <w:tabs>
          <w:tab w:val="left" w:pos="284"/>
        </w:tabs>
        <w:jc w:val="center"/>
        <w:rPr>
          <w:rFonts w:ascii="Georgia" w:hAnsi="Georgia" w:cs="Arial"/>
          <w:sz w:val="21"/>
          <w:szCs w:val="21"/>
          <w:lang w:val="en-US" w:eastAsia="de-CH"/>
        </w:rPr>
      </w:pPr>
      <w:r>
        <w:rPr>
          <w:rFonts w:ascii="Georgia" w:hAnsi="Georgia" w:cs="Arial"/>
          <w:sz w:val="21"/>
          <w:szCs w:val="21"/>
          <w:lang w:val="en-US" w:eastAsia="de-CH"/>
        </w:rPr>
        <w:t xml:space="preserve">Maastricht, </w:t>
      </w:r>
      <w:r w:rsidRPr="006F7B35">
        <w:rPr>
          <w:rFonts w:ascii="Georgia" w:hAnsi="Georgia" w:cs="Arial"/>
          <w:sz w:val="21"/>
          <w:szCs w:val="21"/>
          <w:lang w:val="en-US" w:eastAsia="de-CH"/>
        </w:rPr>
        <w:t xml:space="preserve">the Netherlands, </w:t>
      </w:r>
      <w:r>
        <w:rPr>
          <w:rFonts w:ascii="Georgia" w:hAnsi="Georgia" w:cs="Arial"/>
          <w:sz w:val="21"/>
          <w:szCs w:val="21"/>
          <w:lang w:val="en-US" w:eastAsia="de-CH"/>
        </w:rPr>
        <w:t>2</w:t>
      </w:r>
      <w:r w:rsidR="005E68CD">
        <w:rPr>
          <w:rFonts w:ascii="Georgia" w:hAnsi="Georgia" w:cs="Arial"/>
          <w:sz w:val="21"/>
          <w:szCs w:val="21"/>
          <w:lang w:val="en-US" w:eastAsia="de-CH"/>
        </w:rPr>
        <w:t>3</w:t>
      </w:r>
      <w:r w:rsidRPr="006F7B35">
        <w:rPr>
          <w:rFonts w:ascii="Georgia" w:hAnsi="Georgia" w:cs="Arial"/>
          <w:sz w:val="21"/>
          <w:szCs w:val="21"/>
          <w:lang w:val="en-US" w:eastAsia="de-CH"/>
        </w:rPr>
        <w:t>-</w:t>
      </w:r>
      <w:r>
        <w:rPr>
          <w:rFonts w:ascii="Georgia" w:hAnsi="Georgia" w:cs="Arial"/>
          <w:sz w:val="21"/>
          <w:szCs w:val="21"/>
          <w:lang w:val="en-US" w:eastAsia="de-CH"/>
        </w:rPr>
        <w:t>2</w:t>
      </w:r>
      <w:r w:rsidR="005E68CD">
        <w:rPr>
          <w:rFonts w:ascii="Georgia" w:hAnsi="Georgia" w:cs="Arial"/>
          <w:sz w:val="21"/>
          <w:szCs w:val="21"/>
          <w:lang w:val="en-US" w:eastAsia="de-CH"/>
        </w:rPr>
        <w:t>5</w:t>
      </w:r>
      <w:r w:rsidRPr="006F7B35">
        <w:rPr>
          <w:rFonts w:ascii="Georgia" w:hAnsi="Georgia" w:cs="Arial"/>
          <w:sz w:val="21"/>
          <w:szCs w:val="21"/>
          <w:lang w:val="en-US" w:eastAsia="de-CH"/>
        </w:rPr>
        <w:t xml:space="preserve"> October 20</w:t>
      </w:r>
      <w:r>
        <w:rPr>
          <w:rFonts w:ascii="Georgia" w:hAnsi="Georgia" w:cs="Arial"/>
          <w:sz w:val="21"/>
          <w:szCs w:val="21"/>
          <w:lang w:val="en-US" w:eastAsia="de-CH"/>
        </w:rPr>
        <w:t>2</w:t>
      </w:r>
      <w:r w:rsidR="005E68CD">
        <w:rPr>
          <w:rFonts w:ascii="Georgia" w:hAnsi="Georgia" w:cs="Arial"/>
          <w:sz w:val="21"/>
          <w:szCs w:val="21"/>
          <w:lang w:val="en-US" w:eastAsia="de-CH"/>
        </w:rPr>
        <w:t>3</w:t>
      </w:r>
    </w:p>
    <w:p w14:paraId="5E8F6C5D" w14:textId="77777777" w:rsidR="006F7B35" w:rsidRDefault="006F7B35" w:rsidP="00F90219">
      <w:pPr>
        <w:pStyle w:val="Default"/>
        <w:jc w:val="both"/>
        <w:rPr>
          <w:rFonts w:ascii="Georgia" w:hAnsi="Georgia" w:cs="Arial"/>
          <w:b/>
          <w:sz w:val="22"/>
          <w:szCs w:val="22"/>
          <w:lang w:val="en-GB"/>
        </w:rPr>
      </w:pPr>
    </w:p>
    <w:p w14:paraId="3A26F1ED" w14:textId="70649AB1"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Track Chairs: </w:t>
      </w:r>
    </w:p>
    <w:p w14:paraId="031BF235" w14:textId="07DF0001" w:rsidR="00F90219" w:rsidRPr="00641444" w:rsidRDefault="00074849" w:rsidP="00F90219">
      <w:pPr>
        <w:pStyle w:val="Default"/>
        <w:jc w:val="both"/>
        <w:rPr>
          <w:rFonts w:ascii="Georgia" w:hAnsi="Georgia" w:cs="Arial"/>
          <w:sz w:val="22"/>
          <w:szCs w:val="22"/>
          <w:lang w:val="en-GB"/>
        </w:rPr>
      </w:pPr>
      <w:bookmarkStart w:id="1" w:name="_Hlk65490834"/>
      <w:r>
        <w:rPr>
          <w:rFonts w:ascii="Georgia" w:hAnsi="Georgia" w:cs="Arial"/>
          <w:sz w:val="22"/>
          <w:szCs w:val="22"/>
          <w:lang w:val="en-GB"/>
        </w:rPr>
        <w:t>Jaap Bos, Vinzenz Peters</w:t>
      </w:r>
    </w:p>
    <w:bookmarkEnd w:id="1"/>
    <w:p w14:paraId="62279E50" w14:textId="77777777" w:rsidR="00F90219" w:rsidRPr="00641444" w:rsidRDefault="00F90219" w:rsidP="00F90219">
      <w:pPr>
        <w:pStyle w:val="Default"/>
        <w:jc w:val="both"/>
        <w:rPr>
          <w:rFonts w:ascii="Georgia" w:hAnsi="Georgia" w:cs="Arial"/>
          <w:sz w:val="22"/>
          <w:szCs w:val="22"/>
          <w:lang w:val="en-GB"/>
        </w:rPr>
      </w:pPr>
    </w:p>
    <w:p w14:paraId="24F152B6" w14:textId="77777777"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Description of the track </w:t>
      </w:r>
    </w:p>
    <w:p w14:paraId="58FECCF5" w14:textId="0EDEC381" w:rsidR="00F90219" w:rsidRDefault="00F90219" w:rsidP="00F90219">
      <w:pPr>
        <w:pStyle w:val="Default"/>
        <w:jc w:val="both"/>
        <w:rPr>
          <w:rFonts w:ascii="Georgia" w:hAnsi="Georgia" w:cs="Arial"/>
          <w:sz w:val="22"/>
          <w:szCs w:val="22"/>
          <w:lang w:val="en-GB"/>
        </w:rPr>
      </w:pPr>
    </w:p>
    <w:p w14:paraId="4209BFBA" w14:textId="3FC1534C" w:rsidR="00F90219" w:rsidRDefault="00074849" w:rsidP="00F90219">
      <w:pPr>
        <w:pStyle w:val="Default"/>
        <w:jc w:val="both"/>
        <w:rPr>
          <w:rFonts w:ascii="Georgia" w:hAnsi="Georgia" w:cs="Arial"/>
          <w:b/>
          <w:sz w:val="22"/>
          <w:szCs w:val="22"/>
          <w:lang w:val="en-GB"/>
        </w:rPr>
      </w:pPr>
      <w:r w:rsidRPr="00074849">
        <w:rPr>
          <w:rFonts w:ascii="Georgia" w:hAnsi="Georgia" w:cs="Arial"/>
          <w:sz w:val="22"/>
          <w:szCs w:val="22"/>
          <w:lang w:val="en-GB"/>
        </w:rPr>
        <w:t>The financial sector plays a crucial role in building a resilient and sustainable economy. With the increasing awareness of the risks and opportunities of climate change, environmental degradation, and social inequality, there is a growing demand for responsible and sustainable finance. Financial institutions are facing new challenges, such as measuring and managing climate risks, promoting sustainable investments, and supporting the transition to a low-carbon economy. At the same time, the financial sector is also exposed to these risks and needs to ensure its own resilience in order to contribute to a resilient real economy. This track aims to explore the role of finance in building resilience and to discuss the challenges and opportunities for responsible and sustainable finance in the face of environmental, social, and economic pressures.</w:t>
      </w:r>
    </w:p>
    <w:p w14:paraId="0B0D0B8E" w14:textId="77777777" w:rsidR="00F90219" w:rsidRDefault="00F90219" w:rsidP="00F90219">
      <w:pPr>
        <w:pStyle w:val="Default"/>
        <w:jc w:val="both"/>
        <w:rPr>
          <w:rFonts w:ascii="Georgia" w:hAnsi="Georgia" w:cs="Arial"/>
          <w:b/>
          <w:sz w:val="22"/>
          <w:szCs w:val="22"/>
          <w:lang w:val="en-GB"/>
        </w:rPr>
      </w:pPr>
    </w:p>
    <w:p w14:paraId="0E80F6EB" w14:textId="77777777"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Key topics and research questions of the track </w:t>
      </w:r>
    </w:p>
    <w:p w14:paraId="048D4EEC" w14:textId="77777777" w:rsidR="00F90219" w:rsidRPr="00641444" w:rsidRDefault="00F90219" w:rsidP="00F90219">
      <w:pPr>
        <w:pStyle w:val="Default"/>
        <w:jc w:val="both"/>
        <w:rPr>
          <w:rFonts w:ascii="Georgia" w:hAnsi="Georgia" w:cs="Arial"/>
          <w:sz w:val="22"/>
          <w:szCs w:val="22"/>
          <w:lang w:val="en-GB"/>
        </w:rPr>
      </w:pPr>
    </w:p>
    <w:p w14:paraId="3363D9ED" w14:textId="1B372BD5" w:rsidR="00074849" w:rsidRPr="00143276" w:rsidRDefault="00074849" w:rsidP="00143276">
      <w:pPr>
        <w:pStyle w:val="Default"/>
        <w:numPr>
          <w:ilvl w:val="0"/>
          <w:numId w:val="3"/>
        </w:numPr>
        <w:spacing w:after="240"/>
        <w:jc w:val="both"/>
        <w:rPr>
          <w:rFonts w:ascii="Georgia" w:hAnsi="Georgia" w:cs="Arial"/>
          <w:sz w:val="22"/>
          <w:szCs w:val="22"/>
          <w:lang w:val="it-IT"/>
        </w:rPr>
      </w:pPr>
      <w:r w:rsidRPr="00074849">
        <w:rPr>
          <w:rFonts w:ascii="Georgia" w:hAnsi="Georgia" w:cs="Arial"/>
          <w:sz w:val="22"/>
          <w:szCs w:val="22"/>
          <w:lang w:val="it-IT"/>
        </w:rPr>
        <w:t xml:space="preserve">Sustainable finance: What are the challenges and opportunities for sustainable finance, and how can financial institutions promote sustainable investments and support the transition to a low-carbon economy? </w:t>
      </w:r>
    </w:p>
    <w:p w14:paraId="683D0378" w14:textId="3B37564A" w:rsidR="00074849" w:rsidRPr="00074849" w:rsidRDefault="00074849" w:rsidP="00143276">
      <w:pPr>
        <w:pStyle w:val="Default"/>
        <w:numPr>
          <w:ilvl w:val="0"/>
          <w:numId w:val="3"/>
        </w:numPr>
        <w:spacing w:after="240"/>
        <w:jc w:val="both"/>
        <w:rPr>
          <w:rFonts w:ascii="Georgia" w:hAnsi="Georgia" w:cs="Arial"/>
          <w:sz w:val="22"/>
          <w:szCs w:val="22"/>
          <w:lang w:val="it-IT"/>
        </w:rPr>
      </w:pPr>
      <w:r w:rsidRPr="00074849">
        <w:rPr>
          <w:rFonts w:ascii="Georgia" w:hAnsi="Georgia" w:cs="Arial"/>
          <w:sz w:val="22"/>
          <w:szCs w:val="22"/>
          <w:lang w:val="it-IT"/>
        </w:rPr>
        <w:t xml:space="preserve">Climate risk management: How can financial institutions measure and manage climate risks, and what are the implications for risk management practices and financial stability? </w:t>
      </w:r>
    </w:p>
    <w:p w14:paraId="07BB0EFA" w14:textId="04F7EF09" w:rsidR="00074849" w:rsidRPr="00074849" w:rsidRDefault="00074849" w:rsidP="00143276">
      <w:pPr>
        <w:pStyle w:val="Default"/>
        <w:numPr>
          <w:ilvl w:val="0"/>
          <w:numId w:val="3"/>
        </w:numPr>
        <w:spacing w:after="240"/>
        <w:jc w:val="both"/>
        <w:rPr>
          <w:rFonts w:ascii="Georgia" w:hAnsi="Georgia" w:cs="Arial"/>
          <w:sz w:val="22"/>
          <w:szCs w:val="22"/>
          <w:lang w:val="it-IT"/>
        </w:rPr>
      </w:pPr>
      <w:r w:rsidRPr="00074849">
        <w:rPr>
          <w:rFonts w:ascii="Georgia" w:hAnsi="Georgia" w:cs="Arial"/>
          <w:sz w:val="22"/>
          <w:szCs w:val="22"/>
          <w:lang w:val="it-IT"/>
        </w:rPr>
        <w:t xml:space="preserve">Resilient financial systems: How can financial systems become more resilient to external shocks, such as climate change, pandemics, and financial crises? What are the implications for financial regulation and supervision? What role does the financial sector play in the resilience of the real economy? </w:t>
      </w:r>
    </w:p>
    <w:p w14:paraId="2E3A5461" w14:textId="491AE932" w:rsidR="00074849" w:rsidRPr="00074849" w:rsidRDefault="00074849" w:rsidP="00143276">
      <w:pPr>
        <w:pStyle w:val="Default"/>
        <w:numPr>
          <w:ilvl w:val="0"/>
          <w:numId w:val="3"/>
        </w:numPr>
        <w:spacing w:after="240"/>
        <w:jc w:val="both"/>
        <w:rPr>
          <w:rFonts w:ascii="Georgia" w:hAnsi="Georgia" w:cs="Arial"/>
          <w:sz w:val="22"/>
          <w:szCs w:val="22"/>
          <w:lang w:val="it-IT"/>
        </w:rPr>
      </w:pPr>
      <w:r w:rsidRPr="00074849">
        <w:rPr>
          <w:rFonts w:ascii="Georgia" w:hAnsi="Georgia" w:cs="Arial"/>
          <w:sz w:val="22"/>
          <w:szCs w:val="22"/>
          <w:lang w:val="it-IT"/>
        </w:rPr>
        <w:lastRenderedPageBreak/>
        <w:t xml:space="preserve">Socially responsible investing: How can investors integrate environmental, social, and governance (ESG) factors in their investment decisions, and what are the effects on financial performance and risk? What is the role of green bonds and other sustainable financial instruments in promoting sustainable investments, and how can they be designed to maximize their impact? </w:t>
      </w:r>
    </w:p>
    <w:p w14:paraId="02B0CC92" w14:textId="1173235E" w:rsidR="00201F97" w:rsidRDefault="00074849" w:rsidP="00143276">
      <w:pPr>
        <w:pStyle w:val="Default"/>
        <w:numPr>
          <w:ilvl w:val="0"/>
          <w:numId w:val="3"/>
        </w:numPr>
        <w:spacing w:after="240"/>
        <w:jc w:val="both"/>
        <w:rPr>
          <w:rFonts w:ascii="Georgia" w:hAnsi="Georgia" w:cs="Arial"/>
          <w:sz w:val="22"/>
          <w:szCs w:val="22"/>
          <w:lang w:val="en-GB"/>
        </w:rPr>
      </w:pPr>
      <w:r w:rsidRPr="00074849">
        <w:rPr>
          <w:rFonts w:ascii="Georgia" w:hAnsi="Georgia" w:cs="Arial"/>
          <w:sz w:val="22"/>
          <w:szCs w:val="22"/>
          <w:lang w:val="it-IT"/>
        </w:rPr>
        <w:t>Financial innovation for sustainability: How can financial innovation contribute to sustainable development, and what are the challenges and opportunities for new financial technologies, such as blockchain, fintech, and digital currencies?</w:t>
      </w:r>
    </w:p>
    <w:p w14:paraId="3E8050F8" w14:textId="77777777" w:rsidR="00074849" w:rsidRDefault="00074849" w:rsidP="005E68CD">
      <w:pPr>
        <w:rPr>
          <w:rFonts w:ascii="Georgia" w:hAnsi="Georgia" w:cs="Arial"/>
          <w:b/>
          <w:lang w:val="en-GB"/>
        </w:rPr>
      </w:pPr>
    </w:p>
    <w:p w14:paraId="5149D6CF" w14:textId="09207DA1" w:rsidR="00201F97" w:rsidRDefault="00201F97" w:rsidP="005E68CD">
      <w:pPr>
        <w:rPr>
          <w:rFonts w:ascii="Georgia" w:hAnsi="Georgia" w:cs="Arial"/>
          <w:b/>
          <w:lang w:val="en-GB"/>
        </w:rPr>
      </w:pPr>
      <w:r w:rsidRPr="00570415">
        <w:rPr>
          <w:rFonts w:ascii="Georgia" w:hAnsi="Georgia" w:cs="Arial"/>
          <w:b/>
          <w:lang w:val="en-GB"/>
        </w:rPr>
        <w:t>References</w:t>
      </w:r>
      <w:r w:rsidR="00F90219">
        <w:rPr>
          <w:rFonts w:ascii="Georgia" w:hAnsi="Georgia" w:cs="Arial"/>
          <w:b/>
          <w:lang w:val="en-GB"/>
        </w:rPr>
        <w:t>:</w:t>
      </w:r>
    </w:p>
    <w:p w14:paraId="69C2F1F8" w14:textId="624210E1" w:rsidR="00074849" w:rsidRDefault="00074849" w:rsidP="00074849">
      <w:pPr>
        <w:pStyle w:val="Default"/>
        <w:jc w:val="both"/>
        <w:rPr>
          <w:rFonts w:ascii="Georgia" w:hAnsi="Georgia" w:cs="Arial"/>
          <w:color w:val="222222"/>
          <w:sz w:val="20"/>
          <w:szCs w:val="20"/>
          <w:shd w:val="clear" w:color="auto" w:fill="FFFFFF"/>
        </w:rPr>
      </w:pPr>
      <w:r w:rsidRPr="00074849">
        <w:rPr>
          <w:rFonts w:ascii="Georgia" w:hAnsi="Georgia" w:cs="Arial"/>
          <w:color w:val="222222"/>
          <w:sz w:val="20"/>
          <w:szCs w:val="20"/>
          <w:shd w:val="clear" w:color="auto" w:fill="FFFFFF"/>
        </w:rPr>
        <w:t xml:space="preserve">Battiston, S., Mandel, A., Monasterolo, I., Schütze, F., and Visentin, G. (2017). A climate stress-test of the financial system. Nature Climate Change, 7(4):283–288. </w:t>
      </w:r>
      <w:hyperlink r:id="rId8" w:history="1">
        <w:r w:rsidRPr="001E2E47">
          <w:rPr>
            <w:rStyle w:val="Hyperlink"/>
            <w:rFonts w:ascii="Georgia" w:hAnsi="Georgia" w:cs="Arial"/>
            <w:sz w:val="20"/>
            <w:szCs w:val="20"/>
            <w:shd w:val="clear" w:color="auto" w:fill="FFFFFF"/>
          </w:rPr>
          <w:t>https://doi.org/10.1038/nclimate3255</w:t>
        </w:r>
      </w:hyperlink>
    </w:p>
    <w:p w14:paraId="2EC6F12A" w14:textId="77777777" w:rsidR="00074849" w:rsidRPr="00074849" w:rsidRDefault="00074849" w:rsidP="00074849">
      <w:pPr>
        <w:pStyle w:val="Default"/>
        <w:jc w:val="both"/>
        <w:rPr>
          <w:rFonts w:ascii="Georgia" w:hAnsi="Georgia" w:cs="Arial"/>
          <w:color w:val="222222"/>
          <w:sz w:val="20"/>
          <w:szCs w:val="20"/>
          <w:shd w:val="clear" w:color="auto" w:fill="FFFFFF"/>
        </w:rPr>
      </w:pPr>
    </w:p>
    <w:p w14:paraId="76C9AF33" w14:textId="1B8E5FEE" w:rsidR="00074849" w:rsidRDefault="00074849" w:rsidP="00074849">
      <w:pPr>
        <w:pStyle w:val="Default"/>
        <w:jc w:val="both"/>
        <w:rPr>
          <w:rFonts w:ascii="Georgia" w:hAnsi="Georgia" w:cs="Arial"/>
          <w:color w:val="222222"/>
          <w:sz w:val="20"/>
          <w:szCs w:val="20"/>
          <w:shd w:val="clear" w:color="auto" w:fill="FFFFFF"/>
        </w:rPr>
      </w:pPr>
      <w:r w:rsidRPr="00074849">
        <w:rPr>
          <w:rFonts w:ascii="Georgia" w:hAnsi="Georgia" w:cs="Arial"/>
          <w:color w:val="222222"/>
          <w:sz w:val="20"/>
          <w:szCs w:val="20"/>
          <w:shd w:val="clear" w:color="auto" w:fill="FFFFFF"/>
        </w:rPr>
        <w:t>Bolton, P., Kacperczyk, M., Hong, H. G., and Vives, X. (2021). Resilience of the financial system to natural disasters. Centre for Economic Policy Research.</w:t>
      </w:r>
    </w:p>
    <w:p w14:paraId="4002FF48" w14:textId="77777777" w:rsidR="00074849" w:rsidRPr="00074849" w:rsidRDefault="00074849" w:rsidP="00074849">
      <w:pPr>
        <w:pStyle w:val="Default"/>
        <w:jc w:val="both"/>
        <w:rPr>
          <w:rFonts w:ascii="Georgia" w:hAnsi="Georgia" w:cs="Arial"/>
          <w:color w:val="222222"/>
          <w:sz w:val="20"/>
          <w:szCs w:val="20"/>
          <w:shd w:val="clear" w:color="auto" w:fill="FFFFFF"/>
        </w:rPr>
      </w:pPr>
    </w:p>
    <w:p w14:paraId="32533E40" w14:textId="790142AA" w:rsidR="00074849" w:rsidRDefault="00074849" w:rsidP="00074849">
      <w:pPr>
        <w:pStyle w:val="Default"/>
        <w:jc w:val="both"/>
        <w:rPr>
          <w:rFonts w:ascii="Georgia" w:hAnsi="Georgia" w:cs="Arial"/>
          <w:color w:val="222222"/>
          <w:sz w:val="20"/>
          <w:szCs w:val="20"/>
          <w:shd w:val="clear" w:color="auto" w:fill="FFFFFF"/>
        </w:rPr>
      </w:pPr>
      <w:r w:rsidRPr="00074849">
        <w:rPr>
          <w:rFonts w:ascii="Georgia" w:hAnsi="Georgia" w:cs="Arial"/>
          <w:color w:val="222222"/>
          <w:sz w:val="20"/>
          <w:szCs w:val="20"/>
          <w:shd w:val="clear" w:color="auto" w:fill="FFFFFF"/>
        </w:rPr>
        <w:t xml:space="preserve">Campiglio, E., Dafermos, Y., Monnin, P. et al. (2018). Climate change challenges for central banks and financial regulators. Nature Climate Change, 8, 462–468. </w:t>
      </w:r>
      <w:hyperlink r:id="rId9" w:history="1">
        <w:r w:rsidRPr="001E2E47">
          <w:rPr>
            <w:rStyle w:val="Hyperlink"/>
            <w:rFonts w:ascii="Georgia" w:hAnsi="Georgia" w:cs="Arial"/>
            <w:sz w:val="20"/>
            <w:szCs w:val="20"/>
            <w:shd w:val="clear" w:color="auto" w:fill="FFFFFF"/>
          </w:rPr>
          <w:t>https://doi.org/10.1038/s41558-018-0175-0</w:t>
        </w:r>
      </w:hyperlink>
    </w:p>
    <w:p w14:paraId="1761FE3E" w14:textId="77777777" w:rsidR="00074849" w:rsidRPr="00074849" w:rsidRDefault="00074849" w:rsidP="00074849">
      <w:pPr>
        <w:pStyle w:val="Default"/>
        <w:jc w:val="both"/>
        <w:rPr>
          <w:rFonts w:ascii="Georgia" w:hAnsi="Georgia" w:cs="Arial"/>
          <w:color w:val="222222"/>
          <w:sz w:val="20"/>
          <w:szCs w:val="20"/>
          <w:shd w:val="clear" w:color="auto" w:fill="FFFFFF"/>
        </w:rPr>
      </w:pPr>
    </w:p>
    <w:p w14:paraId="3E87E781" w14:textId="4DA99DA8" w:rsidR="00074849" w:rsidRDefault="00074849" w:rsidP="00074849">
      <w:pPr>
        <w:pStyle w:val="Default"/>
        <w:jc w:val="both"/>
        <w:rPr>
          <w:rFonts w:ascii="Georgia" w:hAnsi="Georgia" w:cs="Arial"/>
          <w:color w:val="222222"/>
          <w:sz w:val="20"/>
          <w:szCs w:val="20"/>
          <w:shd w:val="clear" w:color="auto" w:fill="FFFFFF"/>
        </w:rPr>
      </w:pPr>
      <w:r w:rsidRPr="00074849">
        <w:rPr>
          <w:rFonts w:ascii="Georgia" w:hAnsi="Georgia" w:cs="Arial"/>
          <w:color w:val="222222"/>
          <w:sz w:val="20"/>
          <w:szCs w:val="20"/>
          <w:shd w:val="clear" w:color="auto" w:fill="FFFFFF"/>
        </w:rPr>
        <w:t>Carney, M. (2015). Breaking the Tragedy of the Horizon – Climate Change and Financial Stability. Speech given at Lloyd'</w:t>
      </w:r>
      <w:r>
        <w:rPr>
          <w:rFonts w:ascii="Georgia" w:hAnsi="Georgia" w:cs="Arial"/>
          <w:color w:val="222222"/>
          <w:sz w:val="20"/>
          <w:szCs w:val="20"/>
          <w:shd w:val="clear" w:color="auto" w:fill="FFFFFF"/>
        </w:rPr>
        <w:t>s of London, 29 September 2015</w:t>
      </w:r>
    </w:p>
    <w:p w14:paraId="7F121D5B" w14:textId="77777777" w:rsidR="00074849" w:rsidRPr="00074849" w:rsidRDefault="00074849" w:rsidP="00074849">
      <w:pPr>
        <w:pStyle w:val="Default"/>
        <w:jc w:val="both"/>
        <w:rPr>
          <w:rFonts w:ascii="Georgia" w:hAnsi="Georgia" w:cs="Arial"/>
          <w:color w:val="222222"/>
          <w:sz w:val="20"/>
          <w:szCs w:val="20"/>
          <w:shd w:val="clear" w:color="auto" w:fill="FFFFFF"/>
        </w:rPr>
      </w:pPr>
    </w:p>
    <w:p w14:paraId="7EC919EC" w14:textId="0D68EC31" w:rsidR="00074849" w:rsidRDefault="00074849" w:rsidP="00074849">
      <w:pPr>
        <w:pStyle w:val="Default"/>
        <w:jc w:val="both"/>
        <w:rPr>
          <w:rFonts w:ascii="Georgia" w:hAnsi="Georgia" w:cs="Arial"/>
          <w:color w:val="222222"/>
          <w:sz w:val="20"/>
          <w:szCs w:val="20"/>
          <w:shd w:val="clear" w:color="auto" w:fill="FFFFFF"/>
        </w:rPr>
      </w:pPr>
      <w:r w:rsidRPr="00074849">
        <w:rPr>
          <w:rFonts w:ascii="Georgia" w:hAnsi="Georgia" w:cs="Arial"/>
          <w:color w:val="222222"/>
          <w:sz w:val="20"/>
          <w:szCs w:val="20"/>
          <w:shd w:val="clear" w:color="auto" w:fill="FFFFFF"/>
        </w:rPr>
        <w:t xml:space="preserve">Dunz, N., Hrast Essenfelder, A., Mazzocchetti, A., Monasterolo, I., and Raberto, M. (2021). Compounding COVID-19 and climate risks: The interplay of banks’ lending and government’s policy in the shock recovery. Journal of Banking &amp; Finance. </w:t>
      </w:r>
      <w:hyperlink r:id="rId10" w:history="1">
        <w:r w:rsidRPr="001E2E47">
          <w:rPr>
            <w:rStyle w:val="Hyperlink"/>
            <w:rFonts w:ascii="Georgia" w:hAnsi="Georgia" w:cs="Arial"/>
            <w:sz w:val="20"/>
            <w:szCs w:val="20"/>
            <w:shd w:val="clear" w:color="auto" w:fill="FFFFFF"/>
          </w:rPr>
          <w:t>https://doi.org/10.1016/j.jbankfin.2021.106306</w:t>
        </w:r>
      </w:hyperlink>
    </w:p>
    <w:p w14:paraId="4F7BDFD7" w14:textId="77777777" w:rsidR="00074849" w:rsidRPr="00074849" w:rsidRDefault="00074849" w:rsidP="00074849">
      <w:pPr>
        <w:pStyle w:val="Default"/>
        <w:jc w:val="both"/>
        <w:rPr>
          <w:rFonts w:ascii="Georgia" w:hAnsi="Georgia" w:cs="Arial"/>
          <w:color w:val="222222"/>
          <w:sz w:val="20"/>
          <w:szCs w:val="20"/>
          <w:shd w:val="clear" w:color="auto" w:fill="FFFFFF"/>
        </w:rPr>
      </w:pPr>
    </w:p>
    <w:p w14:paraId="1A7C7103" w14:textId="2DE62DF8" w:rsidR="00201F97" w:rsidRDefault="00074849" w:rsidP="00074849">
      <w:pPr>
        <w:pStyle w:val="Default"/>
        <w:jc w:val="both"/>
        <w:rPr>
          <w:rFonts w:ascii="Georgia" w:hAnsi="Georgia" w:cs="Arial"/>
          <w:color w:val="222222"/>
          <w:sz w:val="20"/>
          <w:szCs w:val="20"/>
          <w:shd w:val="clear" w:color="auto" w:fill="FFFFFF"/>
        </w:rPr>
      </w:pPr>
      <w:r w:rsidRPr="00074849">
        <w:rPr>
          <w:rFonts w:ascii="Georgia" w:hAnsi="Georgia" w:cs="Arial"/>
          <w:color w:val="222222"/>
          <w:sz w:val="20"/>
          <w:szCs w:val="20"/>
          <w:shd w:val="clear" w:color="auto" w:fill="FFFFFF"/>
        </w:rPr>
        <w:t xml:space="preserve">Giglio, S., Kelly, B., &amp; Stroebel, J. (2021). Climate Finance. Annual Review of Financial Economics, 13(1), 15–36. </w:t>
      </w:r>
      <w:hyperlink r:id="rId11" w:history="1">
        <w:r w:rsidRPr="001E2E47">
          <w:rPr>
            <w:rStyle w:val="Hyperlink"/>
            <w:rFonts w:ascii="Georgia" w:hAnsi="Georgia" w:cs="Arial"/>
            <w:sz w:val="20"/>
            <w:szCs w:val="20"/>
            <w:shd w:val="clear" w:color="auto" w:fill="FFFFFF"/>
          </w:rPr>
          <w:t>https://doi.org/10.1146/annurev-financial-102620-10331</w:t>
        </w:r>
      </w:hyperlink>
    </w:p>
    <w:p w14:paraId="5FB4508F" w14:textId="727E61BA" w:rsidR="00201F97" w:rsidRDefault="00201F97" w:rsidP="00201F97">
      <w:pPr>
        <w:pStyle w:val="Default"/>
        <w:jc w:val="both"/>
        <w:rPr>
          <w:rFonts w:ascii="Georgia" w:hAnsi="Georgia" w:cs="Arial"/>
          <w:sz w:val="22"/>
          <w:szCs w:val="22"/>
          <w:lang w:val="en-GB"/>
        </w:rPr>
      </w:pPr>
    </w:p>
    <w:p w14:paraId="2ED77D36" w14:textId="77777777" w:rsidR="00540431" w:rsidRPr="006D1A12" w:rsidRDefault="00540431" w:rsidP="00540431">
      <w:pPr>
        <w:pStyle w:val="Default"/>
        <w:jc w:val="both"/>
        <w:rPr>
          <w:rFonts w:ascii="Georgia" w:hAnsi="Georgia" w:cs="Arial"/>
          <w:sz w:val="22"/>
          <w:szCs w:val="22"/>
          <w:lang w:val="en-GB"/>
        </w:rPr>
      </w:pPr>
    </w:p>
    <w:p w14:paraId="1BEB5237" w14:textId="107946BA" w:rsidR="00540431" w:rsidRPr="00641444" w:rsidRDefault="00540431" w:rsidP="00540431">
      <w:pPr>
        <w:pStyle w:val="Default"/>
        <w:pBdr>
          <w:top w:val="single" w:sz="4" w:space="1" w:color="auto"/>
        </w:pBdr>
        <w:jc w:val="both"/>
        <w:rPr>
          <w:rFonts w:ascii="Georgia" w:hAnsi="Georgia" w:cs="Arial"/>
          <w:b/>
          <w:sz w:val="22"/>
          <w:szCs w:val="22"/>
          <w:lang w:val="en-US"/>
        </w:rPr>
      </w:pPr>
      <w:r w:rsidRPr="00641444">
        <w:rPr>
          <w:rFonts w:ascii="Georgia" w:hAnsi="Georgia" w:cs="Arial"/>
          <w:b/>
          <w:sz w:val="22"/>
          <w:szCs w:val="22"/>
          <w:lang w:val="en-US"/>
        </w:rPr>
        <w:t xml:space="preserve">The deadline for submissions is </w:t>
      </w:r>
      <w:r>
        <w:rPr>
          <w:rFonts w:ascii="Georgia" w:hAnsi="Georgia" w:cs="Arial"/>
          <w:b/>
          <w:sz w:val="22"/>
          <w:szCs w:val="22"/>
          <w:lang w:val="en-US"/>
        </w:rPr>
        <w:t xml:space="preserve">1 </w:t>
      </w:r>
      <w:r w:rsidR="00074849">
        <w:rPr>
          <w:rFonts w:ascii="Georgia" w:hAnsi="Georgia" w:cs="Arial"/>
          <w:b/>
          <w:sz w:val="22"/>
          <w:szCs w:val="22"/>
          <w:lang w:val="en-US"/>
        </w:rPr>
        <w:t>July</w:t>
      </w:r>
      <w:r w:rsidRPr="00641444">
        <w:rPr>
          <w:rFonts w:ascii="Georgia" w:hAnsi="Georgia" w:cs="Arial"/>
          <w:b/>
          <w:sz w:val="22"/>
          <w:szCs w:val="22"/>
          <w:lang w:val="en-US"/>
        </w:rPr>
        <w:t>, 202</w:t>
      </w:r>
      <w:r w:rsidR="005E68CD">
        <w:rPr>
          <w:rFonts w:ascii="Georgia" w:hAnsi="Georgia" w:cs="Arial"/>
          <w:b/>
          <w:sz w:val="22"/>
          <w:szCs w:val="22"/>
          <w:lang w:val="en-US"/>
        </w:rPr>
        <w:t>3</w:t>
      </w:r>
      <w:r w:rsidRPr="00641444">
        <w:rPr>
          <w:rFonts w:ascii="Georgia" w:hAnsi="Georgia" w:cs="Arial"/>
          <w:b/>
          <w:sz w:val="22"/>
          <w:szCs w:val="22"/>
          <w:lang w:val="en-US"/>
        </w:rPr>
        <w:t xml:space="preserve">. </w:t>
      </w:r>
    </w:p>
    <w:p w14:paraId="2DBDDA67" w14:textId="77777777" w:rsidR="00540431" w:rsidRPr="00641444" w:rsidRDefault="00540431" w:rsidP="00540431">
      <w:pPr>
        <w:pStyle w:val="Default"/>
        <w:jc w:val="both"/>
        <w:rPr>
          <w:rFonts w:ascii="Georgia" w:hAnsi="Georgia" w:cs="Arial"/>
          <w:sz w:val="22"/>
          <w:szCs w:val="22"/>
          <w:lang w:val="en-US"/>
        </w:rPr>
      </w:pPr>
      <w:r w:rsidRPr="00641444">
        <w:rPr>
          <w:rFonts w:ascii="Georgia" w:hAnsi="Georgia" w:cs="Arial"/>
          <w:sz w:val="22"/>
          <w:szCs w:val="22"/>
          <w:lang w:val="en-US"/>
        </w:rPr>
        <w:t xml:space="preserve">All submissions must use the </w:t>
      </w:r>
      <w:r w:rsidRPr="00641444">
        <w:rPr>
          <w:rFonts w:ascii="Georgia" w:hAnsi="Georgia" w:cs="Arial"/>
          <w:b/>
          <w:sz w:val="22"/>
          <w:szCs w:val="22"/>
          <w:lang w:val="en-US"/>
        </w:rPr>
        <w:t>submission template</w:t>
      </w:r>
      <w:r w:rsidRPr="00641444">
        <w:rPr>
          <w:rFonts w:ascii="Georgia" w:hAnsi="Georgia" w:cs="Arial"/>
          <w:sz w:val="22"/>
          <w:szCs w:val="22"/>
          <w:lang w:val="en-US"/>
        </w:rPr>
        <w:t xml:space="preserve"> and </w:t>
      </w:r>
      <w:r w:rsidRPr="00641444">
        <w:rPr>
          <w:rFonts w:ascii="Georgia" w:hAnsi="Georgia" w:cs="Arial"/>
          <w:b/>
          <w:sz w:val="22"/>
          <w:szCs w:val="22"/>
          <w:lang w:val="en-US"/>
        </w:rPr>
        <w:t>use the submission procedure</w:t>
      </w:r>
      <w:r w:rsidRPr="00641444">
        <w:rPr>
          <w:rFonts w:ascii="Georgia" w:hAnsi="Georgia" w:cs="Arial"/>
          <w:sz w:val="22"/>
          <w:szCs w:val="22"/>
          <w:lang w:val="en-US"/>
        </w:rPr>
        <w:t xml:space="preserve"> on the webpage otherwise they will not be considered for review. </w:t>
      </w:r>
    </w:p>
    <w:p w14:paraId="677073C3" w14:textId="054DC6F6" w:rsidR="00540431" w:rsidRDefault="00540431" w:rsidP="00540431">
      <w:pPr>
        <w:pStyle w:val="Default"/>
        <w:jc w:val="both"/>
        <w:rPr>
          <w:rFonts w:ascii="Georgia" w:hAnsi="Georgia" w:cs="Arial"/>
          <w:sz w:val="22"/>
          <w:szCs w:val="22"/>
          <w:lang w:val="en-US"/>
        </w:rPr>
      </w:pPr>
      <w:r w:rsidRPr="00641444">
        <w:rPr>
          <w:rFonts w:ascii="Georgia" w:hAnsi="Georgia" w:cs="Arial"/>
          <w:b/>
          <w:sz w:val="22"/>
          <w:szCs w:val="22"/>
          <w:lang w:val="en-US"/>
        </w:rPr>
        <w:t xml:space="preserve">Submit your paper </w:t>
      </w:r>
      <w:r w:rsidRPr="005E68CD">
        <w:rPr>
          <w:rFonts w:ascii="Georgia" w:hAnsi="Georgia" w:cs="Arial"/>
          <w:b/>
          <w:sz w:val="22"/>
          <w:szCs w:val="22"/>
          <w:lang w:val="en-US"/>
        </w:rPr>
        <w:t>here</w:t>
      </w:r>
      <w:r w:rsidRPr="005A34F7">
        <w:rPr>
          <w:rFonts w:ascii="Georgia" w:hAnsi="Georgia" w:cs="Arial"/>
          <w:sz w:val="22"/>
          <w:szCs w:val="22"/>
          <w:lang w:val="en-US"/>
        </w:rPr>
        <w:t>.</w:t>
      </w:r>
    </w:p>
    <w:p w14:paraId="6015F194" w14:textId="77777777" w:rsidR="00540431" w:rsidRPr="005A34F7" w:rsidRDefault="00540431" w:rsidP="00540431">
      <w:pPr>
        <w:pStyle w:val="Default"/>
        <w:jc w:val="both"/>
        <w:rPr>
          <w:rFonts w:ascii="Georgia" w:hAnsi="Georgia" w:cs="Arial"/>
          <w:b/>
          <w:sz w:val="22"/>
          <w:szCs w:val="22"/>
          <w:lang w:val="en-US"/>
        </w:rPr>
      </w:pPr>
    </w:p>
    <w:p w14:paraId="44E1B0A1" w14:textId="4DF670AB" w:rsidR="00540431" w:rsidRPr="00641444" w:rsidRDefault="00540431" w:rsidP="00540431">
      <w:pPr>
        <w:pStyle w:val="Default"/>
        <w:jc w:val="both"/>
        <w:rPr>
          <w:rFonts w:ascii="Georgia" w:hAnsi="Georgia" w:cs="Arial"/>
          <w:b/>
          <w:sz w:val="22"/>
          <w:szCs w:val="22"/>
          <w:lang w:val="en-US"/>
        </w:rPr>
      </w:pPr>
      <w:r w:rsidRPr="00641444">
        <w:rPr>
          <w:rFonts w:ascii="Georgia" w:hAnsi="Georgia" w:cs="Arial"/>
          <w:b/>
          <w:sz w:val="22"/>
          <w:szCs w:val="22"/>
          <w:lang w:val="en-US"/>
        </w:rPr>
        <w:t xml:space="preserve">The registration for the </w:t>
      </w:r>
      <w:r w:rsidR="005E68CD">
        <w:rPr>
          <w:rFonts w:ascii="Georgia" w:hAnsi="Georgia" w:cs="Arial"/>
          <w:b/>
          <w:sz w:val="22"/>
          <w:szCs w:val="22"/>
          <w:lang w:val="en-US"/>
        </w:rPr>
        <w:t>MORSE</w:t>
      </w:r>
      <w:r>
        <w:rPr>
          <w:rFonts w:ascii="Georgia" w:hAnsi="Georgia" w:cs="Arial"/>
          <w:b/>
          <w:sz w:val="22"/>
          <w:szCs w:val="22"/>
          <w:lang w:val="en-US"/>
        </w:rPr>
        <w:t xml:space="preserve"> 202</w:t>
      </w:r>
      <w:r w:rsidR="005E68CD">
        <w:rPr>
          <w:rFonts w:ascii="Georgia" w:hAnsi="Georgia" w:cs="Arial"/>
          <w:b/>
          <w:sz w:val="22"/>
          <w:szCs w:val="22"/>
          <w:lang w:val="en-US"/>
        </w:rPr>
        <w:t>3</w:t>
      </w:r>
      <w:r>
        <w:rPr>
          <w:rFonts w:ascii="Georgia" w:hAnsi="Georgia" w:cs="Arial"/>
          <w:b/>
          <w:sz w:val="22"/>
          <w:szCs w:val="22"/>
          <w:lang w:val="en-US"/>
        </w:rPr>
        <w:t xml:space="preserve"> will be </w:t>
      </w:r>
      <w:r w:rsidRPr="00641444">
        <w:rPr>
          <w:rFonts w:ascii="Georgia" w:hAnsi="Georgia" w:cs="Arial"/>
          <w:b/>
          <w:sz w:val="22"/>
          <w:szCs w:val="22"/>
          <w:lang w:val="en-US"/>
        </w:rPr>
        <w:t xml:space="preserve">open </w:t>
      </w:r>
      <w:r w:rsidRPr="005A34F7">
        <w:rPr>
          <w:rFonts w:ascii="Georgia" w:hAnsi="Georgia" w:cs="Arial"/>
          <w:b/>
          <w:sz w:val="22"/>
          <w:szCs w:val="22"/>
          <w:lang w:val="en-US"/>
        </w:rPr>
        <w:t>until 31st August</w:t>
      </w:r>
      <w:r>
        <w:rPr>
          <w:rFonts w:ascii="Georgia" w:hAnsi="Georgia" w:cs="Arial"/>
          <w:b/>
          <w:sz w:val="22"/>
          <w:szCs w:val="22"/>
          <w:lang w:val="en-US"/>
        </w:rPr>
        <w:t>,</w:t>
      </w:r>
      <w:r w:rsidRPr="005A34F7">
        <w:rPr>
          <w:rFonts w:ascii="Georgia" w:hAnsi="Georgia" w:cs="Arial"/>
          <w:b/>
          <w:sz w:val="22"/>
          <w:szCs w:val="22"/>
          <w:lang w:val="en-US"/>
        </w:rPr>
        <w:t xml:space="preserve"> 20</w:t>
      </w:r>
      <w:r>
        <w:rPr>
          <w:rFonts w:ascii="Georgia" w:hAnsi="Georgia" w:cs="Arial"/>
          <w:b/>
          <w:sz w:val="22"/>
          <w:szCs w:val="22"/>
          <w:lang w:val="en-US"/>
        </w:rPr>
        <w:t>2</w:t>
      </w:r>
      <w:r w:rsidR="005E68CD">
        <w:rPr>
          <w:rFonts w:ascii="Georgia" w:hAnsi="Georgia" w:cs="Arial"/>
          <w:b/>
          <w:sz w:val="22"/>
          <w:szCs w:val="22"/>
          <w:lang w:val="en-US"/>
        </w:rPr>
        <w:t>3</w:t>
      </w:r>
      <w:r w:rsidRPr="00641444">
        <w:rPr>
          <w:rFonts w:ascii="Georgia" w:hAnsi="Georgia" w:cs="Arial"/>
          <w:b/>
          <w:sz w:val="22"/>
          <w:szCs w:val="22"/>
          <w:lang w:val="en-US"/>
        </w:rPr>
        <w:t xml:space="preserve">. </w:t>
      </w:r>
    </w:p>
    <w:p w14:paraId="2141DF9D" w14:textId="6715BF9A" w:rsidR="00540431" w:rsidRPr="005A34F7" w:rsidRDefault="00540431" w:rsidP="00540431">
      <w:pPr>
        <w:pStyle w:val="Default"/>
        <w:jc w:val="both"/>
        <w:rPr>
          <w:rFonts w:ascii="Georgia" w:hAnsi="Georgia" w:cs="Arial"/>
          <w:b/>
          <w:sz w:val="20"/>
          <w:szCs w:val="20"/>
          <w:lang w:val="en-US"/>
        </w:rPr>
      </w:pPr>
      <w:r w:rsidRPr="00641444">
        <w:rPr>
          <w:rFonts w:ascii="Georgia" w:hAnsi="Georgia" w:cs="Arial"/>
          <w:b/>
          <w:sz w:val="22"/>
          <w:szCs w:val="22"/>
          <w:lang w:val="en-US"/>
        </w:rPr>
        <w:t xml:space="preserve">Register </w:t>
      </w:r>
      <w:r w:rsidRPr="005E68CD">
        <w:rPr>
          <w:rFonts w:ascii="Georgia" w:hAnsi="Georgia" w:cs="Arial"/>
          <w:b/>
          <w:sz w:val="22"/>
          <w:szCs w:val="22"/>
          <w:lang w:val="en-US"/>
        </w:rPr>
        <w:t>here</w:t>
      </w:r>
      <w:r w:rsidRPr="005A34F7">
        <w:rPr>
          <w:rFonts w:ascii="Georgia" w:hAnsi="Georgia" w:cs="Arial"/>
          <w:b/>
          <w:sz w:val="22"/>
          <w:szCs w:val="22"/>
          <w:lang w:val="en-GB"/>
        </w:rPr>
        <w:t>.</w:t>
      </w:r>
    </w:p>
    <w:p w14:paraId="5CB00625" w14:textId="77777777" w:rsidR="00201F97" w:rsidRPr="00201F97" w:rsidRDefault="00201F97" w:rsidP="00540431">
      <w:pPr>
        <w:pStyle w:val="Default"/>
        <w:jc w:val="both"/>
        <w:rPr>
          <w:lang w:val="en-US"/>
        </w:rPr>
      </w:pPr>
    </w:p>
    <w:sectPr w:rsidR="00201F97" w:rsidRPr="00201F97" w:rsidSect="00201F97">
      <w:footerReference w:type="default" r:id="rId12"/>
      <w:pgSz w:w="11906" w:h="16838"/>
      <w:pgMar w:top="568" w:right="991" w:bottom="1134" w:left="993"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213D" w14:textId="77777777" w:rsidR="00CC0E69" w:rsidRDefault="00CC0E69" w:rsidP="00201F97">
      <w:pPr>
        <w:spacing w:after="0" w:line="240" w:lineRule="auto"/>
      </w:pPr>
      <w:r>
        <w:separator/>
      </w:r>
    </w:p>
  </w:endnote>
  <w:endnote w:type="continuationSeparator" w:id="0">
    <w:p w14:paraId="18397DFA" w14:textId="77777777" w:rsidR="00CC0E69" w:rsidRDefault="00CC0E69" w:rsidP="0020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Next LT W1G">
    <w:altName w:val="Corbel"/>
    <w:panose1 w:val="00000000000000000000"/>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Commercial LT Light">
    <w:altName w:val="Calibri"/>
    <w:charset w:val="00"/>
    <w:family w:val="auto"/>
    <w:pitch w:val="variable"/>
    <w:sig w:usb0="8000000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BF3A" w14:textId="1064673C" w:rsidR="00201F97" w:rsidRPr="00C23716" w:rsidRDefault="00C23716" w:rsidP="00C23716">
    <w:pPr>
      <w:pStyle w:val="Footer"/>
    </w:pPr>
    <w:r w:rsidRPr="00B7000E">
      <w:rPr>
        <w:noProof/>
        <w:lang w:val="en-GB" w:eastAsia="en-GB"/>
      </w:rPr>
      <w:drawing>
        <wp:anchor distT="0" distB="0" distL="114300" distR="114300" simplePos="0" relativeHeight="251659264" behindDoc="0" locked="0" layoutInCell="1" allowOverlap="1" wp14:anchorId="4DF5D7DE" wp14:editId="19C49ABD">
          <wp:simplePos x="0" y="0"/>
          <wp:positionH relativeFrom="margin">
            <wp:posOffset>-462038</wp:posOffset>
          </wp:positionH>
          <wp:positionV relativeFrom="paragraph">
            <wp:posOffset>-268726</wp:posOffset>
          </wp:positionV>
          <wp:extent cx="1630680" cy="417830"/>
          <wp:effectExtent l="0" t="0" r="7620" b="1270"/>
          <wp:wrapNone/>
          <wp:docPr id="61" name="Grafik 61" descr="https://logos-download.com/wp-content/uploads/2017/11/Maastricht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os-download.com/wp-content/uploads/2017/11/Maastricht_University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0680" cy="4178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156E" w14:textId="77777777" w:rsidR="00CC0E69" w:rsidRDefault="00CC0E69" w:rsidP="00201F97">
      <w:pPr>
        <w:spacing w:after="0" w:line="240" w:lineRule="auto"/>
      </w:pPr>
      <w:r>
        <w:separator/>
      </w:r>
    </w:p>
  </w:footnote>
  <w:footnote w:type="continuationSeparator" w:id="0">
    <w:p w14:paraId="43070829" w14:textId="77777777" w:rsidR="00CC0E69" w:rsidRDefault="00CC0E69" w:rsidP="0020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21912"/>
    <w:multiLevelType w:val="hybridMultilevel"/>
    <w:tmpl w:val="0F9E7D60"/>
    <w:lvl w:ilvl="0" w:tplc="846237B6">
      <w:numFmt w:val="bullet"/>
      <w:lvlText w:val="-"/>
      <w:lvlJc w:val="left"/>
      <w:pPr>
        <w:ind w:left="360" w:hanging="360"/>
      </w:pPr>
      <w:rPr>
        <w:rFonts w:ascii="Frutiger Next LT W1G" w:eastAsia="Times New Roman" w:hAnsi="Frutiger Next LT W1G"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BAE683F"/>
    <w:multiLevelType w:val="hybridMultilevel"/>
    <w:tmpl w:val="04F8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305FA"/>
    <w:multiLevelType w:val="hybridMultilevel"/>
    <w:tmpl w:val="07C6760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it-IT" w:vendorID="64" w:dllVersion="131078" w:nlCheck="1" w:checkStyle="0"/>
  <w:activeWritingStyle w:appName="MSWord" w:lang="en-GB" w:vendorID="64" w:dllVersion="131078" w:nlCheck="1" w:checkStyle="1"/>
  <w:activeWritingStyle w:appName="MSWord" w:lang="de-CH"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97"/>
    <w:rsid w:val="0000502F"/>
    <w:rsid w:val="00044273"/>
    <w:rsid w:val="00074849"/>
    <w:rsid w:val="00143276"/>
    <w:rsid w:val="00201F97"/>
    <w:rsid w:val="00224742"/>
    <w:rsid w:val="002F2BDD"/>
    <w:rsid w:val="00540431"/>
    <w:rsid w:val="005E68CD"/>
    <w:rsid w:val="005F2428"/>
    <w:rsid w:val="006E7649"/>
    <w:rsid w:val="006E7F54"/>
    <w:rsid w:val="006F7B35"/>
    <w:rsid w:val="00710759"/>
    <w:rsid w:val="0077035F"/>
    <w:rsid w:val="007A6963"/>
    <w:rsid w:val="007E6EB5"/>
    <w:rsid w:val="0080351F"/>
    <w:rsid w:val="008614B9"/>
    <w:rsid w:val="008C6CC1"/>
    <w:rsid w:val="00953D56"/>
    <w:rsid w:val="00957088"/>
    <w:rsid w:val="00AF7E78"/>
    <w:rsid w:val="00C23716"/>
    <w:rsid w:val="00CB1EB7"/>
    <w:rsid w:val="00CC0E69"/>
    <w:rsid w:val="00CF1EE9"/>
    <w:rsid w:val="00D76165"/>
    <w:rsid w:val="00D84C96"/>
    <w:rsid w:val="00F902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224C"/>
  <w15:chartTrackingRefBased/>
  <w15:docId w15:val="{875EFD9B-99DB-4217-86A3-894C107F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1F97"/>
  </w:style>
  <w:style w:type="paragraph" w:styleId="Footer">
    <w:name w:val="footer"/>
    <w:basedOn w:val="Normal"/>
    <w:link w:val="FooterChar"/>
    <w:uiPriority w:val="99"/>
    <w:unhideWhenUsed/>
    <w:rsid w:val="00201F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1F97"/>
  </w:style>
  <w:style w:type="paragraph" w:customStyle="1" w:styleId="Default">
    <w:name w:val="Default"/>
    <w:rsid w:val="00201F97"/>
    <w:pPr>
      <w:autoSpaceDE w:val="0"/>
      <w:autoSpaceDN w:val="0"/>
      <w:adjustRightInd w:val="0"/>
      <w:spacing w:after="0" w:line="240" w:lineRule="auto"/>
    </w:pPr>
    <w:rPr>
      <w:rFonts w:ascii="BasicCommercial LT Light" w:hAnsi="BasicCommercial LT Light" w:cs="BasicCommercial LT Light"/>
      <w:color w:val="000000"/>
      <w:sz w:val="24"/>
      <w:szCs w:val="24"/>
    </w:rPr>
  </w:style>
  <w:style w:type="character" w:styleId="Hyperlink">
    <w:name w:val="Hyperlink"/>
    <w:rsid w:val="00201F97"/>
    <w:rPr>
      <w:color w:val="0000FF"/>
      <w:u w:val="single"/>
    </w:rPr>
  </w:style>
  <w:style w:type="character" w:customStyle="1" w:styleId="UnresolvedMention">
    <w:name w:val="Unresolved Mention"/>
    <w:basedOn w:val="DefaultParagraphFont"/>
    <w:uiPriority w:val="99"/>
    <w:semiHidden/>
    <w:unhideWhenUsed/>
    <w:rsid w:val="00C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96104">
      <w:bodyDiv w:val="1"/>
      <w:marLeft w:val="0"/>
      <w:marRight w:val="0"/>
      <w:marTop w:val="0"/>
      <w:marBottom w:val="0"/>
      <w:divBdr>
        <w:top w:val="none" w:sz="0" w:space="0" w:color="auto"/>
        <w:left w:val="none" w:sz="0" w:space="0" w:color="auto"/>
        <w:bottom w:val="none" w:sz="0" w:space="0" w:color="auto"/>
        <w:right w:val="none" w:sz="0" w:space="0" w:color="auto"/>
      </w:divBdr>
    </w:div>
    <w:div w:id="969163454">
      <w:bodyDiv w:val="1"/>
      <w:marLeft w:val="0"/>
      <w:marRight w:val="0"/>
      <w:marTop w:val="0"/>
      <w:marBottom w:val="0"/>
      <w:divBdr>
        <w:top w:val="none" w:sz="0" w:space="0" w:color="auto"/>
        <w:left w:val="none" w:sz="0" w:space="0" w:color="auto"/>
        <w:bottom w:val="none" w:sz="0" w:space="0" w:color="auto"/>
        <w:right w:val="none" w:sz="0" w:space="0" w:color="auto"/>
      </w:divBdr>
      <w:divsChild>
        <w:div w:id="1616475399">
          <w:marLeft w:val="0"/>
          <w:marRight w:val="0"/>
          <w:marTop w:val="0"/>
          <w:marBottom w:val="0"/>
          <w:divBdr>
            <w:top w:val="none" w:sz="0" w:space="0" w:color="auto"/>
            <w:left w:val="none" w:sz="0" w:space="0" w:color="auto"/>
            <w:bottom w:val="none" w:sz="0" w:space="0" w:color="auto"/>
            <w:right w:val="none" w:sz="0" w:space="0" w:color="auto"/>
          </w:divBdr>
          <w:divsChild>
            <w:div w:id="6937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669">
      <w:bodyDiv w:val="1"/>
      <w:marLeft w:val="0"/>
      <w:marRight w:val="0"/>
      <w:marTop w:val="0"/>
      <w:marBottom w:val="0"/>
      <w:divBdr>
        <w:top w:val="none" w:sz="0" w:space="0" w:color="auto"/>
        <w:left w:val="none" w:sz="0" w:space="0" w:color="auto"/>
        <w:bottom w:val="none" w:sz="0" w:space="0" w:color="auto"/>
        <w:right w:val="none" w:sz="0" w:space="0" w:color="auto"/>
      </w:divBdr>
    </w:div>
    <w:div w:id="20092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climate32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46/annurev-financial-102620-10331" TargetMode="External"/><Relationship Id="rId5" Type="http://schemas.openxmlformats.org/officeDocument/2006/relationships/footnotes" Target="footnotes.xml"/><Relationship Id="rId10" Type="http://schemas.openxmlformats.org/officeDocument/2006/relationships/hyperlink" Target="https://doi.org/10.1016/j.jbankfin.2021.106306" TargetMode="External"/><Relationship Id="rId4" Type="http://schemas.openxmlformats.org/officeDocument/2006/relationships/webSettings" Target="webSettings.xml"/><Relationship Id="rId9" Type="http://schemas.openxmlformats.org/officeDocument/2006/relationships/hyperlink" Target="https://doi.org/10.1038/s41558-018-0175-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FHGR Chur</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Rainalter Jeanine</dc:creator>
  <cp:keywords/>
  <dc:description/>
  <cp:lastModifiedBy>Menegatto, Veronica (EFB)</cp:lastModifiedBy>
  <cp:revision>2</cp:revision>
  <dcterms:created xsi:type="dcterms:W3CDTF">2023-05-04T11:36:00Z</dcterms:created>
  <dcterms:modified xsi:type="dcterms:W3CDTF">2023-05-04T11:36:00Z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bb007359bf0d25b1b30940b40d145eb051d01ae68b0a6abfe5cce53e11de4668</vt:lpwstr>
  </property>
</Properties>
</file>