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E02DF" w14:textId="77777777" w:rsidR="008C6CC1" w:rsidRDefault="005E68CD" w:rsidP="00201F97">
      <w:r>
        <w:rPr>
          <w:noProof/>
          <w:lang w:val="en-GB" w:eastAsia="en-GB"/>
        </w:rPr>
        <w:drawing>
          <wp:inline distT="0" distB="0" distL="0" distR="0" wp14:anchorId="7EC657CD" wp14:editId="1A235686">
            <wp:extent cx="6300470" cy="3367405"/>
            <wp:effectExtent l="0" t="0" r="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0E707" w14:textId="77777777" w:rsidR="006F7B35" w:rsidRPr="005F2428" w:rsidRDefault="006F7B35" w:rsidP="005F2428">
      <w:pPr>
        <w:tabs>
          <w:tab w:val="left" w:pos="284"/>
        </w:tabs>
        <w:spacing w:line="240" w:lineRule="auto"/>
        <w:jc w:val="center"/>
        <w:rPr>
          <w:rFonts w:ascii="Georgia" w:hAnsi="Georgia" w:cs="Arial"/>
          <w:b/>
          <w:bCs/>
          <w:sz w:val="28"/>
          <w:szCs w:val="28"/>
          <w:lang w:val="en-US" w:eastAsia="de-CH"/>
        </w:rPr>
      </w:pPr>
      <w:r w:rsidRPr="005F2428">
        <w:rPr>
          <w:rFonts w:ascii="Georgia" w:hAnsi="Georgia" w:cs="Arial"/>
          <w:b/>
          <w:bCs/>
          <w:sz w:val="28"/>
          <w:szCs w:val="28"/>
          <w:lang w:val="en-US" w:eastAsia="de-CH"/>
        </w:rPr>
        <w:t>Call for Papers</w:t>
      </w:r>
    </w:p>
    <w:p w14:paraId="1F4BABFF" w14:textId="77777777" w:rsidR="006F7B35" w:rsidRPr="006F7B35" w:rsidRDefault="005E68CD" w:rsidP="005F2428">
      <w:pPr>
        <w:tabs>
          <w:tab w:val="left" w:pos="284"/>
        </w:tabs>
        <w:spacing w:line="240" w:lineRule="auto"/>
        <w:jc w:val="center"/>
        <w:rPr>
          <w:rFonts w:ascii="Georgia" w:hAnsi="Georgia" w:cs="Arial"/>
          <w:sz w:val="21"/>
          <w:szCs w:val="21"/>
          <w:lang w:val="en-US" w:eastAsia="de-CH"/>
        </w:rPr>
      </w:pPr>
      <w:r>
        <w:rPr>
          <w:rFonts w:ascii="Georgia" w:hAnsi="Georgia" w:cs="Arial"/>
          <w:sz w:val="21"/>
          <w:szCs w:val="21"/>
          <w:lang w:val="en-US" w:eastAsia="de-CH"/>
        </w:rPr>
        <w:t>Maastricht Observatory for Responsible, Resilient and Sustainable Societies, Economies and Enterprises</w:t>
      </w:r>
    </w:p>
    <w:p w14:paraId="35120ECF" w14:textId="77777777" w:rsidR="006F7B35" w:rsidRDefault="005E68CD" w:rsidP="005F2428">
      <w:pPr>
        <w:tabs>
          <w:tab w:val="left" w:pos="284"/>
        </w:tabs>
        <w:spacing w:line="240" w:lineRule="auto"/>
        <w:jc w:val="center"/>
        <w:rPr>
          <w:rFonts w:ascii="Georgia" w:hAnsi="Georgia" w:cs="Arial"/>
          <w:sz w:val="21"/>
          <w:szCs w:val="21"/>
          <w:lang w:val="en-US" w:eastAsia="de-CH"/>
        </w:rPr>
      </w:pPr>
      <w:r>
        <w:rPr>
          <w:rFonts w:ascii="Georgia" w:hAnsi="Georgia" w:cs="Arial"/>
          <w:sz w:val="21"/>
          <w:szCs w:val="21"/>
          <w:lang w:val="en-US" w:eastAsia="de-CH"/>
        </w:rPr>
        <w:t>3rd</w:t>
      </w:r>
      <w:r w:rsidR="006F7B35" w:rsidRPr="006F7B35">
        <w:rPr>
          <w:rFonts w:ascii="Georgia" w:hAnsi="Georgia" w:cs="Arial"/>
          <w:sz w:val="21"/>
          <w:szCs w:val="21"/>
          <w:lang w:val="en-US" w:eastAsia="de-CH"/>
        </w:rPr>
        <w:t xml:space="preserve"> Annual Conference 20</w:t>
      </w:r>
      <w:r w:rsidR="006E7649">
        <w:rPr>
          <w:rFonts w:ascii="Georgia" w:hAnsi="Georgia" w:cs="Arial"/>
          <w:sz w:val="21"/>
          <w:szCs w:val="21"/>
          <w:lang w:val="en-US" w:eastAsia="de-CH"/>
        </w:rPr>
        <w:t>2</w:t>
      </w:r>
      <w:r>
        <w:rPr>
          <w:rFonts w:ascii="Georgia" w:hAnsi="Georgia" w:cs="Arial"/>
          <w:sz w:val="21"/>
          <w:szCs w:val="21"/>
          <w:lang w:val="en-US" w:eastAsia="de-CH"/>
        </w:rPr>
        <w:t>3</w:t>
      </w:r>
    </w:p>
    <w:p w14:paraId="10CEE562" w14:textId="77777777" w:rsidR="009D63C3" w:rsidRPr="00840082" w:rsidRDefault="00201F97" w:rsidP="00201F97">
      <w:pPr>
        <w:pBdr>
          <w:between w:val="single" w:sz="4" w:space="1" w:color="44546A" w:themeColor="text2"/>
        </w:pBdr>
        <w:tabs>
          <w:tab w:val="left" w:pos="284"/>
        </w:tabs>
        <w:jc w:val="center"/>
        <w:rPr>
          <w:rFonts w:ascii="Georgia" w:hAnsi="Georgia" w:cs="Arial"/>
          <w:b/>
          <w:sz w:val="30"/>
          <w:szCs w:val="30"/>
          <w:lang w:val="en-US" w:eastAsia="de-CH"/>
        </w:rPr>
      </w:pPr>
      <w:r w:rsidRPr="00840082">
        <w:rPr>
          <w:rFonts w:ascii="Georgia" w:hAnsi="Georgia" w:cs="Arial"/>
          <w:b/>
          <w:sz w:val="30"/>
          <w:szCs w:val="30"/>
          <w:lang w:val="en-US" w:eastAsia="de-CH"/>
        </w:rPr>
        <w:t xml:space="preserve">Track: </w:t>
      </w:r>
    </w:p>
    <w:p w14:paraId="7B8F8E5A" w14:textId="27479112" w:rsidR="00603C12" w:rsidRPr="00840082" w:rsidRDefault="00742B35" w:rsidP="00603C12">
      <w:pPr>
        <w:tabs>
          <w:tab w:val="left" w:pos="284"/>
        </w:tabs>
        <w:jc w:val="center"/>
        <w:rPr>
          <w:rFonts w:ascii="Georgia" w:hAnsi="Georgia" w:cs="Arial"/>
          <w:b/>
          <w:sz w:val="30"/>
          <w:szCs w:val="30"/>
          <w:lang w:val="en-US" w:eastAsia="de-CH"/>
        </w:rPr>
      </w:pPr>
      <w:r w:rsidRPr="00840082">
        <w:rPr>
          <w:rFonts w:ascii="Georgia" w:hAnsi="Georgia" w:cs="Arial"/>
          <w:b/>
          <w:sz w:val="30"/>
          <w:szCs w:val="30"/>
          <w:lang w:val="en-US" w:eastAsia="de-CH"/>
        </w:rPr>
        <w:t>Trade shocks and r</w:t>
      </w:r>
      <w:r w:rsidR="00603C12" w:rsidRPr="00840082">
        <w:rPr>
          <w:rFonts w:ascii="Georgia" w:hAnsi="Georgia" w:cs="Arial"/>
          <w:b/>
          <w:sz w:val="30"/>
          <w:szCs w:val="30"/>
          <w:lang w:val="en-US" w:eastAsia="de-CH"/>
        </w:rPr>
        <w:t>esilience in open economies</w:t>
      </w:r>
    </w:p>
    <w:p w14:paraId="5034E093" w14:textId="2F2A0F09" w:rsidR="005F2428" w:rsidRPr="00840082" w:rsidRDefault="005F2428" w:rsidP="00603C12">
      <w:pPr>
        <w:tabs>
          <w:tab w:val="left" w:pos="284"/>
        </w:tabs>
        <w:jc w:val="center"/>
        <w:rPr>
          <w:rFonts w:ascii="Georgia" w:hAnsi="Georgia" w:cs="Arial"/>
          <w:sz w:val="21"/>
          <w:szCs w:val="21"/>
          <w:lang w:val="en-US" w:eastAsia="de-CH"/>
        </w:rPr>
      </w:pPr>
      <w:r w:rsidRPr="00840082">
        <w:rPr>
          <w:rFonts w:ascii="Georgia" w:hAnsi="Georgia" w:cs="Arial"/>
          <w:sz w:val="21"/>
          <w:szCs w:val="21"/>
          <w:lang w:val="en-US" w:eastAsia="de-CH"/>
        </w:rPr>
        <w:t>Maastricht, the Netherlands, 2</w:t>
      </w:r>
      <w:r w:rsidR="005E68CD" w:rsidRPr="00840082">
        <w:rPr>
          <w:rFonts w:ascii="Georgia" w:hAnsi="Georgia" w:cs="Arial"/>
          <w:sz w:val="21"/>
          <w:szCs w:val="21"/>
          <w:lang w:val="en-US" w:eastAsia="de-CH"/>
        </w:rPr>
        <w:t>3</w:t>
      </w:r>
      <w:r w:rsidRPr="00840082">
        <w:rPr>
          <w:rFonts w:ascii="Georgia" w:hAnsi="Georgia" w:cs="Arial"/>
          <w:sz w:val="21"/>
          <w:szCs w:val="21"/>
          <w:lang w:val="en-US" w:eastAsia="de-CH"/>
        </w:rPr>
        <w:t>-2</w:t>
      </w:r>
      <w:r w:rsidR="005E68CD" w:rsidRPr="00840082">
        <w:rPr>
          <w:rFonts w:ascii="Georgia" w:hAnsi="Georgia" w:cs="Arial"/>
          <w:sz w:val="21"/>
          <w:szCs w:val="21"/>
          <w:lang w:val="en-US" w:eastAsia="de-CH"/>
        </w:rPr>
        <w:t>5</w:t>
      </w:r>
      <w:r w:rsidRPr="00840082">
        <w:rPr>
          <w:rFonts w:ascii="Georgia" w:hAnsi="Georgia" w:cs="Arial"/>
          <w:sz w:val="21"/>
          <w:szCs w:val="21"/>
          <w:lang w:val="en-US" w:eastAsia="de-CH"/>
        </w:rPr>
        <w:t xml:space="preserve"> October 202</w:t>
      </w:r>
      <w:r w:rsidR="005E68CD" w:rsidRPr="00840082">
        <w:rPr>
          <w:rFonts w:ascii="Georgia" w:hAnsi="Georgia" w:cs="Arial"/>
          <w:sz w:val="21"/>
          <w:szCs w:val="21"/>
          <w:lang w:val="en-US" w:eastAsia="de-CH"/>
        </w:rPr>
        <w:t>3</w:t>
      </w:r>
    </w:p>
    <w:p w14:paraId="17985A6C" w14:textId="77777777" w:rsidR="006F7B35" w:rsidRPr="00840082" w:rsidRDefault="006F7B35" w:rsidP="00F90219">
      <w:pPr>
        <w:pStyle w:val="Default"/>
        <w:jc w:val="both"/>
        <w:rPr>
          <w:rFonts w:ascii="Georgia" w:hAnsi="Georgia" w:cs="Arial"/>
          <w:b/>
          <w:color w:val="auto"/>
          <w:sz w:val="22"/>
          <w:szCs w:val="22"/>
          <w:lang w:val="en-GB"/>
        </w:rPr>
      </w:pPr>
    </w:p>
    <w:p w14:paraId="4AD18DBE" w14:textId="77777777" w:rsidR="00F90219" w:rsidRPr="00840082" w:rsidRDefault="00F90219" w:rsidP="00F90219">
      <w:pPr>
        <w:pStyle w:val="Default"/>
        <w:jc w:val="both"/>
        <w:rPr>
          <w:rFonts w:ascii="Georgia" w:hAnsi="Georgia" w:cs="Arial"/>
          <w:b/>
          <w:color w:val="auto"/>
          <w:sz w:val="22"/>
          <w:szCs w:val="22"/>
          <w:lang w:val="en-GB"/>
        </w:rPr>
      </w:pPr>
      <w:r w:rsidRPr="00840082">
        <w:rPr>
          <w:rFonts w:ascii="Georgia" w:hAnsi="Georgia" w:cs="Arial"/>
          <w:b/>
          <w:color w:val="auto"/>
          <w:sz w:val="22"/>
          <w:szCs w:val="22"/>
          <w:lang w:val="en-GB"/>
        </w:rPr>
        <w:t xml:space="preserve">Track Chairs: </w:t>
      </w:r>
    </w:p>
    <w:p w14:paraId="643787D0" w14:textId="141CF448" w:rsidR="00F90219" w:rsidRPr="00840082" w:rsidRDefault="00603C12" w:rsidP="00F90219">
      <w:pPr>
        <w:pStyle w:val="Default"/>
        <w:jc w:val="both"/>
        <w:rPr>
          <w:rFonts w:ascii="Georgia" w:hAnsi="Georgia" w:cs="Arial"/>
          <w:color w:val="auto"/>
          <w:sz w:val="22"/>
          <w:szCs w:val="22"/>
          <w:lang w:val="nl-NL"/>
        </w:rPr>
      </w:pPr>
      <w:bookmarkStart w:id="0" w:name="_Hlk65490834"/>
      <w:r w:rsidRPr="00840082">
        <w:rPr>
          <w:rFonts w:ascii="Georgia" w:hAnsi="Georgia" w:cs="Arial"/>
          <w:color w:val="auto"/>
          <w:sz w:val="22"/>
          <w:szCs w:val="22"/>
          <w:lang w:val="nl-NL"/>
        </w:rPr>
        <w:t>Tania Treibich, Karsten Mau, Nanditha Mathew</w:t>
      </w:r>
      <w:r w:rsidR="007F04D3" w:rsidRPr="00840082">
        <w:rPr>
          <w:rFonts w:ascii="Georgia" w:hAnsi="Georgia" w:cs="Arial"/>
          <w:color w:val="auto"/>
          <w:sz w:val="22"/>
          <w:szCs w:val="22"/>
          <w:lang w:val="nl-NL"/>
        </w:rPr>
        <w:t>, Van Vuong</w:t>
      </w:r>
    </w:p>
    <w:bookmarkEnd w:id="0"/>
    <w:p w14:paraId="416235F1" w14:textId="77777777" w:rsidR="00F90219" w:rsidRPr="007F04D3" w:rsidRDefault="00F90219" w:rsidP="00F90219">
      <w:pPr>
        <w:pStyle w:val="Default"/>
        <w:jc w:val="both"/>
        <w:rPr>
          <w:rFonts w:ascii="Georgia" w:hAnsi="Georgia" w:cs="Arial"/>
          <w:sz w:val="22"/>
          <w:szCs w:val="22"/>
          <w:lang w:val="nl-NL"/>
        </w:rPr>
      </w:pPr>
    </w:p>
    <w:p w14:paraId="6FBC304C" w14:textId="77777777" w:rsidR="00F90219" w:rsidRPr="00641444" w:rsidRDefault="00F90219" w:rsidP="00F90219">
      <w:pPr>
        <w:pStyle w:val="Default"/>
        <w:jc w:val="both"/>
        <w:rPr>
          <w:rFonts w:ascii="Georgia" w:hAnsi="Georgia" w:cs="Arial"/>
          <w:b/>
          <w:sz w:val="22"/>
          <w:szCs w:val="22"/>
          <w:lang w:val="en-GB"/>
        </w:rPr>
      </w:pPr>
      <w:r w:rsidRPr="00641444">
        <w:rPr>
          <w:rFonts w:ascii="Georgia" w:hAnsi="Georgia" w:cs="Arial"/>
          <w:b/>
          <w:sz w:val="22"/>
          <w:szCs w:val="22"/>
          <w:lang w:val="en-GB"/>
        </w:rPr>
        <w:t xml:space="preserve">Description of the track </w:t>
      </w:r>
    </w:p>
    <w:p w14:paraId="2195B3F8" w14:textId="5E1085DD" w:rsidR="009D63C3" w:rsidRDefault="00B364F6" w:rsidP="00840082">
      <w:pPr>
        <w:pStyle w:val="Default"/>
        <w:jc w:val="both"/>
        <w:rPr>
          <w:rFonts w:ascii="Georgia" w:hAnsi="Georgia" w:cs="Arial"/>
          <w:sz w:val="22"/>
          <w:szCs w:val="22"/>
          <w:lang w:val="en-GB"/>
        </w:rPr>
      </w:pPr>
      <w:r w:rsidRPr="00B364F6">
        <w:rPr>
          <w:rFonts w:ascii="Georgia" w:hAnsi="Georgia" w:cs="Arial"/>
          <w:sz w:val="22"/>
          <w:szCs w:val="22"/>
          <w:lang w:val="en-GB"/>
        </w:rPr>
        <w:t>Traditional international economics teaches us that the benefits of trade and specialization are</w:t>
      </w:r>
      <w:r w:rsidR="00840082">
        <w:rPr>
          <w:rFonts w:ascii="Georgia" w:hAnsi="Georgia" w:cs="Arial"/>
          <w:sz w:val="22"/>
          <w:szCs w:val="22"/>
          <w:lang w:val="en-GB"/>
        </w:rPr>
        <w:t xml:space="preserve"> </w:t>
      </w:r>
      <w:r w:rsidRPr="00B364F6">
        <w:rPr>
          <w:rFonts w:ascii="Georgia" w:hAnsi="Georgia" w:cs="Arial"/>
          <w:sz w:val="22"/>
          <w:szCs w:val="22"/>
          <w:lang w:val="en-GB"/>
        </w:rPr>
        <w:t>significant and can be shared along the value chain, such that all benefit. This is true on average,</w:t>
      </w:r>
      <w:r w:rsidR="00840082">
        <w:rPr>
          <w:rFonts w:ascii="Georgia" w:hAnsi="Georgia" w:cs="Arial"/>
          <w:sz w:val="22"/>
          <w:szCs w:val="22"/>
          <w:lang w:val="en-GB"/>
        </w:rPr>
        <w:t xml:space="preserve"> </w:t>
      </w:r>
      <w:r w:rsidRPr="00B364F6">
        <w:rPr>
          <w:rFonts w:ascii="Georgia" w:hAnsi="Georgia" w:cs="Arial"/>
          <w:sz w:val="22"/>
          <w:szCs w:val="22"/>
          <w:lang w:val="en-GB"/>
        </w:rPr>
        <w:t>but in an uncertain world, shocks will propagate along these value chains and typically end up</w:t>
      </w:r>
      <w:r w:rsidR="00840082">
        <w:rPr>
          <w:rFonts w:ascii="Georgia" w:hAnsi="Georgia" w:cs="Arial"/>
          <w:sz w:val="22"/>
          <w:szCs w:val="22"/>
          <w:lang w:val="en-GB"/>
        </w:rPr>
        <w:t xml:space="preserve"> </w:t>
      </w:r>
      <w:r w:rsidRPr="00B364F6">
        <w:rPr>
          <w:rFonts w:ascii="Georgia" w:hAnsi="Georgia" w:cs="Arial"/>
          <w:sz w:val="22"/>
          <w:szCs w:val="22"/>
          <w:lang w:val="en-GB"/>
        </w:rPr>
        <w:t>hurting the weakest links in the chains the most. Covid-19 for example, hits the world’s poor</w:t>
      </w:r>
      <w:r w:rsidR="00840082">
        <w:rPr>
          <w:rFonts w:ascii="Georgia" w:hAnsi="Georgia" w:cs="Arial"/>
          <w:sz w:val="22"/>
          <w:szCs w:val="22"/>
          <w:lang w:val="en-GB"/>
        </w:rPr>
        <w:t xml:space="preserve"> </w:t>
      </w:r>
      <w:r w:rsidRPr="00B364F6">
        <w:rPr>
          <w:rFonts w:ascii="Georgia" w:hAnsi="Georgia" w:cs="Arial"/>
          <w:sz w:val="22"/>
          <w:szCs w:val="22"/>
          <w:lang w:val="en-GB"/>
        </w:rPr>
        <w:t>hardest in terms of health effects and welfare. Maintaining healthy buffers and circuit breakers</w:t>
      </w:r>
      <w:r w:rsidR="00840082">
        <w:rPr>
          <w:rFonts w:ascii="Georgia" w:hAnsi="Georgia" w:cs="Arial"/>
          <w:sz w:val="22"/>
          <w:szCs w:val="22"/>
          <w:lang w:val="en-GB"/>
        </w:rPr>
        <w:t xml:space="preserve"> </w:t>
      </w:r>
      <w:r w:rsidRPr="00B364F6">
        <w:rPr>
          <w:rFonts w:ascii="Georgia" w:hAnsi="Georgia" w:cs="Arial"/>
          <w:sz w:val="22"/>
          <w:szCs w:val="22"/>
          <w:lang w:val="en-GB"/>
        </w:rPr>
        <w:t>that are very valuable in times of crisis comes at costs and benefits parts of the chain that are not</w:t>
      </w:r>
      <w:r w:rsidR="00840082">
        <w:rPr>
          <w:rFonts w:ascii="Georgia" w:hAnsi="Georgia" w:cs="Arial"/>
          <w:sz w:val="22"/>
          <w:szCs w:val="22"/>
          <w:lang w:val="en-GB"/>
        </w:rPr>
        <w:t xml:space="preserve"> </w:t>
      </w:r>
      <w:r w:rsidRPr="00B364F6">
        <w:rPr>
          <w:rFonts w:ascii="Georgia" w:hAnsi="Georgia" w:cs="Arial"/>
          <w:sz w:val="22"/>
          <w:szCs w:val="22"/>
          <w:lang w:val="en-GB"/>
        </w:rPr>
        <w:t>willing or able to pay for them in normal circumstances. The growing interconnectedness of</w:t>
      </w:r>
      <w:r w:rsidR="00840082">
        <w:rPr>
          <w:rFonts w:ascii="Georgia" w:hAnsi="Georgia" w:cs="Arial"/>
          <w:sz w:val="22"/>
          <w:szCs w:val="22"/>
          <w:lang w:val="en-GB"/>
        </w:rPr>
        <w:t xml:space="preserve"> </w:t>
      </w:r>
      <w:r w:rsidRPr="00B364F6">
        <w:rPr>
          <w:rFonts w:ascii="Georgia" w:hAnsi="Georgia" w:cs="Arial"/>
          <w:sz w:val="22"/>
          <w:szCs w:val="22"/>
          <w:lang w:val="en-GB"/>
        </w:rPr>
        <w:t>economies in global value chains is a source of both resilience and vulnerability, in ways that beg</w:t>
      </w:r>
      <w:r w:rsidR="00840082">
        <w:rPr>
          <w:rFonts w:ascii="Georgia" w:hAnsi="Georgia" w:cs="Arial"/>
          <w:sz w:val="22"/>
          <w:szCs w:val="22"/>
          <w:lang w:val="en-GB"/>
        </w:rPr>
        <w:t xml:space="preserve"> </w:t>
      </w:r>
      <w:r w:rsidRPr="00B364F6">
        <w:rPr>
          <w:rFonts w:ascii="Georgia" w:hAnsi="Georgia" w:cs="Arial"/>
          <w:sz w:val="22"/>
          <w:szCs w:val="22"/>
          <w:lang w:val="en-GB"/>
        </w:rPr>
        <w:t>further analysis.</w:t>
      </w:r>
    </w:p>
    <w:p w14:paraId="57285F65" w14:textId="77777777" w:rsidR="009D63C3" w:rsidRPr="009D63C3" w:rsidRDefault="009D63C3" w:rsidP="009D63C3">
      <w:pPr>
        <w:pStyle w:val="Default"/>
        <w:jc w:val="both"/>
        <w:rPr>
          <w:rFonts w:ascii="Georgia" w:hAnsi="Georgia" w:cs="Arial"/>
          <w:sz w:val="22"/>
          <w:szCs w:val="22"/>
          <w:lang w:val="en-GB"/>
        </w:rPr>
      </w:pPr>
    </w:p>
    <w:p w14:paraId="42E08C45" w14:textId="12946BB3" w:rsidR="00F90219" w:rsidRPr="00840082" w:rsidRDefault="00A532AE" w:rsidP="00F90219">
      <w:pPr>
        <w:pStyle w:val="Default"/>
        <w:jc w:val="both"/>
        <w:rPr>
          <w:rFonts w:ascii="Georgia" w:hAnsi="Georgia" w:cs="Arial"/>
          <w:b/>
          <w:sz w:val="22"/>
          <w:szCs w:val="22"/>
          <w:lang w:val="en-GB"/>
        </w:rPr>
      </w:pPr>
      <w:r w:rsidRPr="00840082">
        <w:rPr>
          <w:rFonts w:ascii="Georgia" w:hAnsi="Georgia" w:cs="Arial"/>
          <w:b/>
          <w:sz w:val="22"/>
          <w:szCs w:val="22"/>
          <w:lang w:val="en-GB"/>
        </w:rPr>
        <w:t xml:space="preserve">Examples of </w:t>
      </w:r>
      <w:r w:rsidR="009D63C3" w:rsidRPr="00840082">
        <w:rPr>
          <w:rFonts w:ascii="Georgia" w:hAnsi="Georgia" w:cs="Arial"/>
          <w:b/>
          <w:sz w:val="22"/>
          <w:szCs w:val="22"/>
          <w:lang w:val="en-GB"/>
        </w:rPr>
        <w:t xml:space="preserve">relevant research </w:t>
      </w:r>
      <w:r w:rsidR="00532D95" w:rsidRPr="00840082">
        <w:rPr>
          <w:rFonts w:ascii="Georgia" w:hAnsi="Georgia" w:cs="Arial"/>
          <w:b/>
          <w:sz w:val="22"/>
          <w:szCs w:val="22"/>
          <w:lang w:val="en-GB"/>
        </w:rPr>
        <w:t>topics</w:t>
      </w:r>
    </w:p>
    <w:p w14:paraId="3B720018" w14:textId="77777777" w:rsidR="00F90219" w:rsidRPr="00840082" w:rsidRDefault="00F90219" w:rsidP="00F90219">
      <w:pPr>
        <w:pStyle w:val="Default"/>
        <w:jc w:val="both"/>
        <w:rPr>
          <w:rFonts w:ascii="Georgia" w:hAnsi="Georgia" w:cs="Arial"/>
          <w:sz w:val="22"/>
          <w:szCs w:val="22"/>
          <w:lang w:val="en-GB"/>
        </w:rPr>
      </w:pPr>
    </w:p>
    <w:p w14:paraId="3C73D00B" w14:textId="77777777" w:rsidR="00840082" w:rsidRPr="00840082" w:rsidRDefault="00840082" w:rsidP="00840082">
      <w:pPr>
        <w:pStyle w:val="Default"/>
        <w:numPr>
          <w:ilvl w:val="0"/>
          <w:numId w:val="6"/>
        </w:numPr>
        <w:jc w:val="both"/>
        <w:rPr>
          <w:rFonts w:ascii="Georgia" w:hAnsi="Georgia" w:cs="Arial"/>
          <w:sz w:val="22"/>
          <w:szCs w:val="22"/>
          <w:lang w:val="en-GB"/>
        </w:rPr>
      </w:pPr>
      <w:r w:rsidRPr="00840082">
        <w:rPr>
          <w:rFonts w:ascii="Georgia" w:hAnsi="Georgia" w:cs="Arial"/>
          <w:sz w:val="22"/>
          <w:szCs w:val="22"/>
          <w:lang w:val="en-GB"/>
        </w:rPr>
        <w:t xml:space="preserve">Identifying exposure and/or resilience to trade and global value chain </w:t>
      </w:r>
      <w:proofErr w:type="gramStart"/>
      <w:r w:rsidRPr="00840082">
        <w:rPr>
          <w:rFonts w:ascii="Georgia" w:hAnsi="Georgia" w:cs="Arial"/>
          <w:sz w:val="22"/>
          <w:szCs w:val="22"/>
          <w:lang w:val="en-GB"/>
        </w:rPr>
        <w:t>shocks</w:t>
      </w:r>
      <w:proofErr w:type="gramEnd"/>
    </w:p>
    <w:p w14:paraId="552E7C4C" w14:textId="5309574F" w:rsidR="005E63FC" w:rsidRPr="00840082" w:rsidRDefault="00840082" w:rsidP="00532D95">
      <w:pPr>
        <w:pStyle w:val="Default"/>
        <w:numPr>
          <w:ilvl w:val="0"/>
          <w:numId w:val="6"/>
        </w:numPr>
        <w:jc w:val="both"/>
        <w:rPr>
          <w:rFonts w:ascii="Georgia" w:hAnsi="Georgia" w:cs="Arial"/>
          <w:sz w:val="22"/>
          <w:szCs w:val="22"/>
          <w:lang w:val="en-GB"/>
        </w:rPr>
      </w:pPr>
      <w:r w:rsidRPr="00840082">
        <w:rPr>
          <w:rFonts w:ascii="Georgia" w:hAnsi="Georgia" w:cs="Arial"/>
          <w:sz w:val="22"/>
          <w:szCs w:val="22"/>
          <w:lang w:val="en-US"/>
        </w:rPr>
        <w:t>Studies of differences and complementarities between different types</w:t>
      </w:r>
      <w:r w:rsidR="008137D9" w:rsidRPr="00840082">
        <w:rPr>
          <w:rFonts w:ascii="Georgia" w:hAnsi="Georgia" w:cs="Arial"/>
          <w:sz w:val="22"/>
          <w:szCs w:val="22"/>
          <w:lang w:val="en-US"/>
        </w:rPr>
        <w:t xml:space="preserve"> of shocks (Global Financial Crisis, Trade collapse, COVID-19</w:t>
      </w:r>
      <w:r w:rsidR="00CC094F">
        <w:rPr>
          <w:rFonts w:ascii="Georgia" w:hAnsi="Georgia" w:cs="Arial"/>
          <w:sz w:val="22"/>
          <w:szCs w:val="22"/>
          <w:lang w:val="en-US"/>
        </w:rPr>
        <w:t>, technological change</w:t>
      </w:r>
      <w:r w:rsidR="008137D9" w:rsidRPr="00840082">
        <w:rPr>
          <w:rFonts w:ascii="Georgia" w:hAnsi="Georgia" w:cs="Arial"/>
          <w:sz w:val="22"/>
          <w:szCs w:val="22"/>
          <w:lang w:val="en-US"/>
        </w:rPr>
        <w:t xml:space="preserve">) in a </w:t>
      </w:r>
      <w:proofErr w:type="spellStart"/>
      <w:r w:rsidR="008137D9" w:rsidRPr="00840082">
        <w:rPr>
          <w:rFonts w:ascii="Georgia" w:hAnsi="Georgia" w:cs="Arial"/>
          <w:sz w:val="22"/>
          <w:szCs w:val="22"/>
          <w:lang w:val="en-US"/>
        </w:rPr>
        <w:t>globalised</w:t>
      </w:r>
      <w:proofErr w:type="spellEnd"/>
      <w:r w:rsidR="008137D9" w:rsidRPr="00840082">
        <w:rPr>
          <w:rFonts w:ascii="Georgia" w:hAnsi="Georgia" w:cs="Arial"/>
          <w:sz w:val="22"/>
          <w:szCs w:val="22"/>
          <w:lang w:val="en-US"/>
        </w:rPr>
        <w:t xml:space="preserve"> world </w:t>
      </w:r>
    </w:p>
    <w:p w14:paraId="73635E93" w14:textId="48842D3B" w:rsidR="005E63FC" w:rsidRPr="00840082" w:rsidRDefault="008137D9" w:rsidP="00532D95">
      <w:pPr>
        <w:pStyle w:val="Default"/>
        <w:numPr>
          <w:ilvl w:val="0"/>
          <w:numId w:val="6"/>
        </w:numPr>
        <w:jc w:val="both"/>
        <w:rPr>
          <w:rFonts w:ascii="Georgia" w:hAnsi="Georgia" w:cs="Arial"/>
          <w:sz w:val="22"/>
          <w:szCs w:val="22"/>
          <w:lang w:val="en-GB"/>
        </w:rPr>
      </w:pPr>
      <w:r w:rsidRPr="00840082">
        <w:rPr>
          <w:rFonts w:ascii="Georgia" w:hAnsi="Georgia" w:cs="Arial"/>
          <w:sz w:val="22"/>
          <w:szCs w:val="22"/>
          <w:lang w:val="en-US"/>
        </w:rPr>
        <w:t>Propagation along value chains, through firm-to-firm and trade relationships</w:t>
      </w:r>
    </w:p>
    <w:p w14:paraId="5100DA8C" w14:textId="4CE48813" w:rsidR="00945EB9" w:rsidRPr="00840082" w:rsidRDefault="00945EB9" w:rsidP="00532D95">
      <w:pPr>
        <w:pStyle w:val="Default"/>
        <w:numPr>
          <w:ilvl w:val="0"/>
          <w:numId w:val="6"/>
        </w:numPr>
        <w:jc w:val="both"/>
        <w:rPr>
          <w:rFonts w:ascii="Georgia" w:hAnsi="Georgia" w:cs="Arial"/>
          <w:sz w:val="22"/>
          <w:szCs w:val="22"/>
          <w:lang w:val="en-GB"/>
        </w:rPr>
      </w:pPr>
      <w:r w:rsidRPr="00840082">
        <w:rPr>
          <w:rFonts w:ascii="Georgia" w:hAnsi="Georgia" w:cs="Arial"/>
          <w:sz w:val="22"/>
          <w:szCs w:val="22"/>
          <w:lang w:val="en-GB"/>
        </w:rPr>
        <w:t xml:space="preserve">Policy implications </w:t>
      </w:r>
      <w:r w:rsidR="00840082" w:rsidRPr="00840082">
        <w:rPr>
          <w:rFonts w:ascii="Georgia" w:hAnsi="Georgia" w:cs="Arial"/>
          <w:sz w:val="22"/>
          <w:szCs w:val="22"/>
          <w:lang w:val="en-GB"/>
        </w:rPr>
        <w:t xml:space="preserve">of such shocks: how to build resilience in trade global value </w:t>
      </w:r>
      <w:proofErr w:type="gramStart"/>
      <w:r w:rsidR="00840082" w:rsidRPr="00840082">
        <w:rPr>
          <w:rFonts w:ascii="Georgia" w:hAnsi="Georgia" w:cs="Arial"/>
          <w:sz w:val="22"/>
          <w:szCs w:val="22"/>
          <w:lang w:val="en-GB"/>
        </w:rPr>
        <w:t>chains</w:t>
      </w:r>
      <w:proofErr w:type="gramEnd"/>
      <w:r w:rsidR="00840082" w:rsidRPr="00840082">
        <w:rPr>
          <w:rFonts w:ascii="Georgia" w:hAnsi="Georgia" w:cs="Arial"/>
          <w:sz w:val="22"/>
          <w:szCs w:val="22"/>
          <w:lang w:val="en-GB"/>
        </w:rPr>
        <w:t xml:space="preserve"> </w:t>
      </w:r>
    </w:p>
    <w:p w14:paraId="54349F8D" w14:textId="77777777" w:rsidR="00532D95" w:rsidRPr="00532D95" w:rsidRDefault="00532D95" w:rsidP="00532D95">
      <w:pPr>
        <w:pStyle w:val="Default"/>
        <w:ind w:left="720"/>
        <w:jc w:val="both"/>
        <w:rPr>
          <w:rFonts w:ascii="Georgia" w:hAnsi="Georgia" w:cs="Arial"/>
          <w:lang w:val="en-GB"/>
        </w:rPr>
      </w:pPr>
    </w:p>
    <w:p w14:paraId="4BDB220E" w14:textId="77777777" w:rsidR="00532D95" w:rsidRPr="00532D95" w:rsidRDefault="00532D95" w:rsidP="00532D95">
      <w:pPr>
        <w:pStyle w:val="Default"/>
        <w:ind w:left="720"/>
        <w:jc w:val="both"/>
        <w:rPr>
          <w:rFonts w:ascii="Georgia" w:hAnsi="Georgia" w:cs="Arial"/>
          <w:lang w:val="en-GB"/>
        </w:rPr>
      </w:pPr>
    </w:p>
    <w:p w14:paraId="4E319DC2" w14:textId="0DC2B6DF" w:rsidR="00201F97" w:rsidRPr="00CC094F" w:rsidRDefault="00201F97" w:rsidP="005E68CD">
      <w:pPr>
        <w:rPr>
          <w:rFonts w:ascii="Georgia" w:hAnsi="Georgia" w:cs="Arial"/>
          <w:b/>
          <w:lang w:val="fr-FR"/>
        </w:rPr>
      </w:pPr>
      <w:r w:rsidRPr="00CC094F">
        <w:rPr>
          <w:rFonts w:ascii="Georgia" w:hAnsi="Georgia" w:cs="Arial"/>
          <w:b/>
          <w:lang w:val="fr-FR"/>
        </w:rPr>
        <w:t>R</w:t>
      </w:r>
      <w:r w:rsidR="00CC094F" w:rsidRPr="00CC094F">
        <w:rPr>
          <w:rFonts w:ascii="Georgia" w:hAnsi="Georgia" w:cs="Arial"/>
          <w:b/>
          <w:lang w:val="fr-FR"/>
        </w:rPr>
        <w:t xml:space="preserve">elevant </w:t>
      </w:r>
      <w:proofErr w:type="spellStart"/>
      <w:r w:rsidR="00CC094F" w:rsidRPr="00CC094F">
        <w:rPr>
          <w:rFonts w:ascii="Georgia" w:hAnsi="Georgia" w:cs="Arial"/>
          <w:b/>
          <w:lang w:val="fr-FR"/>
        </w:rPr>
        <w:t>r</w:t>
      </w:r>
      <w:r w:rsidRPr="00CC094F">
        <w:rPr>
          <w:rFonts w:ascii="Georgia" w:hAnsi="Georgia" w:cs="Arial"/>
          <w:b/>
          <w:lang w:val="fr-FR"/>
        </w:rPr>
        <w:t>eferences</w:t>
      </w:r>
      <w:proofErr w:type="spellEnd"/>
      <w:r w:rsidR="00CC094F">
        <w:rPr>
          <w:rFonts w:ascii="Georgia" w:hAnsi="Georgia" w:cs="Arial"/>
          <w:b/>
          <w:lang w:val="fr-FR"/>
        </w:rPr>
        <w:t xml:space="preserve"> </w:t>
      </w:r>
      <w:r w:rsidR="00F90219" w:rsidRPr="00CC094F">
        <w:rPr>
          <w:rFonts w:ascii="Georgia" w:hAnsi="Georgia" w:cs="Arial"/>
          <w:b/>
          <w:lang w:val="fr-FR"/>
        </w:rPr>
        <w:t>:</w:t>
      </w:r>
    </w:p>
    <w:p w14:paraId="6B538B73" w14:textId="77777777" w:rsidR="00CC094F" w:rsidRPr="00CC094F" w:rsidRDefault="00CC094F" w:rsidP="00B364F6">
      <w:pPr>
        <w:rPr>
          <w:rFonts w:ascii="Georgia" w:hAnsi="Georgia" w:cs="Arial"/>
          <w:color w:val="222222"/>
          <w:shd w:val="clear" w:color="auto" w:fill="FFFFFF"/>
        </w:rPr>
      </w:pPr>
      <w:r w:rsidRPr="00CC094F">
        <w:rPr>
          <w:rFonts w:ascii="Georgia" w:hAnsi="Georgia" w:cs="Arial"/>
          <w:color w:val="222222"/>
          <w:shd w:val="clear" w:color="auto" w:fill="FFFFFF"/>
        </w:rPr>
        <w:t xml:space="preserve">Antràs, P, D Chor, T Fally and R Hillberry (2012), “Measuring the Upstreamness of Production and Trade Flows”, </w:t>
      </w:r>
      <w:r w:rsidRPr="00CC094F">
        <w:rPr>
          <w:rFonts w:ascii="Georgia" w:hAnsi="Georgia" w:cs="Arial"/>
          <w:i/>
          <w:iCs/>
          <w:color w:val="222222"/>
          <w:shd w:val="clear" w:color="auto" w:fill="FFFFFF"/>
        </w:rPr>
        <w:t>American Economic Review</w:t>
      </w:r>
      <w:r w:rsidRPr="00CC094F">
        <w:rPr>
          <w:rFonts w:ascii="Georgia" w:hAnsi="Georgia" w:cs="Arial"/>
          <w:color w:val="222222"/>
          <w:shd w:val="clear" w:color="auto" w:fill="FFFFFF"/>
        </w:rPr>
        <w:t xml:space="preserve"> 102(3): 412–16.</w:t>
      </w:r>
      <w:r w:rsidRPr="00CC094F">
        <w:rPr>
          <w:rFonts w:ascii="Georgia" w:hAnsi="Georgia" w:cs="Arial"/>
          <w:color w:val="222222"/>
          <w:shd w:val="clear" w:color="auto" w:fill="FFFFFF"/>
        </w:rPr>
        <w:t xml:space="preserve"> </w:t>
      </w:r>
    </w:p>
    <w:p w14:paraId="2C21B087" w14:textId="73AA678D" w:rsidR="00CC094F" w:rsidRPr="00CC094F" w:rsidRDefault="00CC094F" w:rsidP="00B364F6">
      <w:pPr>
        <w:rPr>
          <w:rFonts w:ascii="Georgia" w:hAnsi="Georgia" w:cs="Arial"/>
          <w:color w:val="222222"/>
          <w:shd w:val="clear" w:color="auto" w:fill="FFFFFF"/>
        </w:rPr>
      </w:pPr>
      <w:r w:rsidRPr="00CC094F">
        <w:rPr>
          <w:rFonts w:ascii="Georgia" w:hAnsi="Georgia" w:cs="Arial"/>
          <w:color w:val="222222"/>
          <w:shd w:val="clear" w:color="auto" w:fill="FFFFFF"/>
        </w:rPr>
        <w:lastRenderedPageBreak/>
        <w:t>Baldwin, Richard E., ed. </w:t>
      </w:r>
      <w:r w:rsidRPr="00CC094F">
        <w:rPr>
          <w:rFonts w:ascii="Georgia" w:hAnsi="Georgia" w:cs="Arial"/>
          <w:i/>
          <w:iCs/>
          <w:color w:val="222222"/>
          <w:shd w:val="clear" w:color="auto" w:fill="FFFFFF"/>
        </w:rPr>
        <w:t>The great trade collapse: Causes, consequences and prospects</w:t>
      </w:r>
      <w:r w:rsidRPr="00CC094F">
        <w:rPr>
          <w:rFonts w:ascii="Georgia" w:hAnsi="Georgia" w:cs="Arial"/>
          <w:color w:val="222222"/>
          <w:shd w:val="clear" w:color="auto" w:fill="FFFFFF"/>
        </w:rPr>
        <w:t>. Cepr, 2009.</w:t>
      </w:r>
      <w:r w:rsidRPr="00CC094F">
        <w:rPr>
          <w:rFonts w:ascii="Georgia" w:hAnsi="Georgia" w:cs="Arial"/>
          <w:color w:val="222222"/>
          <w:shd w:val="clear" w:color="auto" w:fill="FFFFFF"/>
        </w:rPr>
        <w:t xml:space="preserve"> </w:t>
      </w:r>
    </w:p>
    <w:p w14:paraId="78C0D5F3" w14:textId="77777777" w:rsidR="00CC094F" w:rsidRPr="00CC094F" w:rsidRDefault="00CC094F" w:rsidP="00B364F6">
      <w:pPr>
        <w:rPr>
          <w:rFonts w:ascii="Georgia" w:hAnsi="Georgia" w:cs="Arial"/>
          <w:color w:val="222222"/>
          <w:shd w:val="clear" w:color="auto" w:fill="FFFFFF"/>
        </w:rPr>
      </w:pPr>
      <w:r w:rsidRPr="00CC094F">
        <w:rPr>
          <w:rFonts w:ascii="Georgia" w:hAnsi="Georgia" w:cs="Arial"/>
          <w:color w:val="222222"/>
          <w:shd w:val="clear" w:color="auto" w:fill="FFFFFF"/>
        </w:rPr>
        <w:t>Baldwin, Richard, and Eiichi Tomiura. "Thinking ahead about the trade impact of COVID-19." </w:t>
      </w:r>
      <w:r w:rsidRPr="00CC094F">
        <w:rPr>
          <w:rFonts w:ascii="Georgia" w:hAnsi="Georgia" w:cs="Arial"/>
          <w:i/>
          <w:iCs/>
          <w:color w:val="222222"/>
          <w:shd w:val="clear" w:color="auto" w:fill="FFFFFF"/>
        </w:rPr>
        <w:t>Economics in the Time of COVID-19</w:t>
      </w:r>
      <w:r w:rsidRPr="00CC094F">
        <w:rPr>
          <w:rFonts w:ascii="Georgia" w:hAnsi="Georgia" w:cs="Arial"/>
          <w:color w:val="222222"/>
          <w:shd w:val="clear" w:color="auto" w:fill="FFFFFF"/>
        </w:rPr>
        <w:t> 59 (2020): 59-71.</w:t>
      </w:r>
      <w:r w:rsidRPr="00CC094F">
        <w:rPr>
          <w:rFonts w:ascii="Georgia" w:hAnsi="Georgia" w:cs="Arial"/>
          <w:color w:val="222222"/>
          <w:shd w:val="clear" w:color="auto" w:fill="FFFFFF"/>
        </w:rPr>
        <w:t xml:space="preserve"> </w:t>
      </w:r>
    </w:p>
    <w:p w14:paraId="57F41643" w14:textId="18DCC0EB" w:rsidR="00CC094F" w:rsidRPr="00CC094F" w:rsidRDefault="00CC094F" w:rsidP="00B364F6">
      <w:pPr>
        <w:rPr>
          <w:rFonts w:ascii="Georgia" w:hAnsi="Georgia" w:cs="Arial"/>
          <w:color w:val="222222"/>
          <w:shd w:val="clear" w:color="auto" w:fill="FFFFFF"/>
        </w:rPr>
      </w:pPr>
      <w:r w:rsidRPr="00CC094F">
        <w:rPr>
          <w:rFonts w:ascii="Georgia" w:hAnsi="Georgia" w:cs="Arial"/>
          <w:color w:val="222222"/>
          <w:shd w:val="clear" w:color="auto" w:fill="FFFFFF"/>
        </w:rPr>
        <w:t>Di Giovanni, Julian, Andrei A. Levchenko, and Isabelle Mejean. "Firms, destinations, and aggregate fluctuations." </w:t>
      </w:r>
      <w:r w:rsidRPr="00CC094F">
        <w:rPr>
          <w:rFonts w:ascii="Georgia" w:hAnsi="Georgia" w:cs="Arial"/>
          <w:i/>
          <w:iCs/>
          <w:color w:val="222222"/>
          <w:shd w:val="clear" w:color="auto" w:fill="FFFFFF"/>
        </w:rPr>
        <w:t>Econometrica</w:t>
      </w:r>
      <w:r w:rsidRPr="00CC094F">
        <w:rPr>
          <w:rFonts w:ascii="Georgia" w:hAnsi="Georgia" w:cs="Arial"/>
          <w:color w:val="222222"/>
          <w:shd w:val="clear" w:color="auto" w:fill="FFFFFF"/>
        </w:rPr>
        <w:t> 82.4 (2014): 1303-1340.</w:t>
      </w:r>
    </w:p>
    <w:p w14:paraId="5F876289" w14:textId="77777777" w:rsidR="00CC094F" w:rsidRPr="00CC094F" w:rsidRDefault="00CC094F" w:rsidP="00B364F6">
      <w:pPr>
        <w:rPr>
          <w:rFonts w:ascii="Georgia" w:hAnsi="Georgia" w:cs="Arial"/>
          <w:color w:val="222222"/>
          <w:shd w:val="clear" w:color="auto" w:fill="FFFFFF"/>
        </w:rPr>
      </w:pPr>
      <w:r w:rsidRPr="00CC094F">
        <w:rPr>
          <w:rFonts w:ascii="Georgia" w:hAnsi="Georgia" w:cs="Arial"/>
          <w:color w:val="222222"/>
          <w:shd w:val="clear" w:color="auto" w:fill="FFFFFF"/>
        </w:rPr>
        <w:t xml:space="preserve">Lafrogne-Joussier, R, J Martin and I Mejean (2022), “Supply Shocks in Supply Chains: Evidence from the Early Lockdown in China”, </w:t>
      </w:r>
      <w:r w:rsidRPr="00CC094F">
        <w:rPr>
          <w:rFonts w:ascii="Georgia" w:hAnsi="Georgia" w:cs="Arial"/>
          <w:i/>
          <w:iCs/>
          <w:color w:val="222222"/>
          <w:shd w:val="clear" w:color="auto" w:fill="FFFFFF"/>
        </w:rPr>
        <w:t>IMF Economic Review</w:t>
      </w:r>
      <w:r w:rsidRPr="00CC094F">
        <w:rPr>
          <w:rFonts w:ascii="Georgia" w:hAnsi="Georgia" w:cs="Arial"/>
          <w:color w:val="222222"/>
          <w:shd w:val="clear" w:color="auto" w:fill="FFFFFF"/>
        </w:rPr>
        <w:t xml:space="preserve"> 4.</w:t>
      </w:r>
      <w:r w:rsidRPr="00CC094F">
        <w:rPr>
          <w:rFonts w:ascii="Georgia" w:hAnsi="Georgia" w:cs="Arial"/>
          <w:color w:val="222222"/>
          <w:shd w:val="clear" w:color="auto" w:fill="FFFFFF"/>
        </w:rPr>
        <w:t xml:space="preserve"> </w:t>
      </w:r>
    </w:p>
    <w:p w14:paraId="67E1B1BD" w14:textId="48BB9672" w:rsidR="00CC094F" w:rsidRPr="00CC094F" w:rsidRDefault="00CC094F" w:rsidP="00B364F6">
      <w:pPr>
        <w:rPr>
          <w:rFonts w:ascii="Georgia" w:hAnsi="Georgia" w:cs="Arial"/>
          <w:color w:val="222222"/>
          <w:shd w:val="clear" w:color="auto" w:fill="FFFFFF"/>
        </w:rPr>
      </w:pPr>
      <w:r w:rsidRPr="00CC094F">
        <w:rPr>
          <w:rFonts w:ascii="Georgia" w:hAnsi="Georgia" w:cs="Arial"/>
          <w:color w:val="222222"/>
          <w:shd w:val="clear" w:color="auto" w:fill="FFFFFF"/>
        </w:rPr>
        <w:t xml:space="preserve">Miroudot, S (2020), “Resilience versus robustness in global value chains: some policy implications” in </w:t>
      </w:r>
      <w:r w:rsidRPr="00CC094F">
        <w:rPr>
          <w:rFonts w:ascii="Georgia" w:hAnsi="Georgia" w:cs="Arial"/>
          <w:i/>
          <w:iCs/>
          <w:color w:val="222222"/>
          <w:shd w:val="clear" w:color="auto" w:fill="FFFFFF"/>
        </w:rPr>
        <w:t>COVID-19 and Trade Policy, Why Turning Inward Won’t Work</w:t>
      </w:r>
      <w:r w:rsidRPr="00CC094F">
        <w:rPr>
          <w:rFonts w:ascii="Georgia" w:hAnsi="Georgia" w:cs="Arial"/>
          <w:color w:val="222222"/>
          <w:shd w:val="clear" w:color="auto" w:fill="FFFFFF"/>
        </w:rPr>
        <w:t>, Baldwin and Evenett (eds), VoxEU.org eBook, CEPR Press, 2020.</w:t>
      </w:r>
    </w:p>
    <w:p w14:paraId="0D2FA6F8" w14:textId="77777777" w:rsidR="00540431" w:rsidRPr="006D1A12" w:rsidRDefault="00540431" w:rsidP="00540431">
      <w:pPr>
        <w:pStyle w:val="Default"/>
        <w:jc w:val="both"/>
        <w:rPr>
          <w:rFonts w:ascii="Georgia" w:hAnsi="Georgia" w:cs="Arial"/>
          <w:sz w:val="22"/>
          <w:szCs w:val="22"/>
          <w:lang w:val="en-GB"/>
        </w:rPr>
      </w:pPr>
    </w:p>
    <w:p w14:paraId="78253B60" w14:textId="77777777" w:rsidR="00540431" w:rsidRPr="00641444" w:rsidRDefault="00540431" w:rsidP="00540431">
      <w:pPr>
        <w:pStyle w:val="Default"/>
        <w:pBdr>
          <w:top w:val="single" w:sz="4" w:space="1" w:color="auto"/>
        </w:pBdr>
        <w:jc w:val="both"/>
        <w:rPr>
          <w:rFonts w:ascii="Georgia" w:hAnsi="Georgia" w:cs="Arial"/>
          <w:b/>
          <w:sz w:val="22"/>
          <w:szCs w:val="22"/>
          <w:lang w:val="en-US"/>
        </w:rPr>
      </w:pPr>
      <w:r w:rsidRPr="00641444">
        <w:rPr>
          <w:rFonts w:ascii="Georgia" w:hAnsi="Georgia" w:cs="Arial"/>
          <w:b/>
          <w:sz w:val="22"/>
          <w:szCs w:val="22"/>
          <w:lang w:val="en-US"/>
        </w:rPr>
        <w:t xml:space="preserve">The deadline for submissions is </w:t>
      </w:r>
      <w:r>
        <w:rPr>
          <w:rFonts w:ascii="Georgia" w:hAnsi="Georgia" w:cs="Arial"/>
          <w:b/>
          <w:sz w:val="22"/>
          <w:szCs w:val="22"/>
          <w:lang w:val="en-US"/>
        </w:rPr>
        <w:t xml:space="preserve">1 </w:t>
      </w:r>
      <w:proofErr w:type="gramStart"/>
      <w:r>
        <w:rPr>
          <w:rFonts w:ascii="Georgia" w:hAnsi="Georgia" w:cs="Arial"/>
          <w:b/>
          <w:sz w:val="22"/>
          <w:szCs w:val="22"/>
          <w:lang w:val="en-US"/>
        </w:rPr>
        <w:t>June</w:t>
      </w:r>
      <w:r w:rsidRPr="00641444">
        <w:rPr>
          <w:rFonts w:ascii="Georgia" w:hAnsi="Georgia" w:cs="Arial"/>
          <w:b/>
          <w:sz w:val="22"/>
          <w:szCs w:val="22"/>
          <w:lang w:val="en-US"/>
        </w:rPr>
        <w:t>,</w:t>
      </w:r>
      <w:proofErr w:type="gramEnd"/>
      <w:r w:rsidRPr="00641444">
        <w:rPr>
          <w:rFonts w:ascii="Georgia" w:hAnsi="Georgia" w:cs="Arial"/>
          <w:b/>
          <w:sz w:val="22"/>
          <w:szCs w:val="22"/>
          <w:lang w:val="en-US"/>
        </w:rPr>
        <w:t xml:space="preserve"> 202</w:t>
      </w:r>
      <w:r w:rsidR="005E68CD">
        <w:rPr>
          <w:rFonts w:ascii="Georgia" w:hAnsi="Georgia" w:cs="Arial"/>
          <w:b/>
          <w:sz w:val="22"/>
          <w:szCs w:val="22"/>
          <w:lang w:val="en-US"/>
        </w:rPr>
        <w:t>3</w:t>
      </w:r>
      <w:r w:rsidRPr="00641444">
        <w:rPr>
          <w:rFonts w:ascii="Georgia" w:hAnsi="Georgia" w:cs="Arial"/>
          <w:b/>
          <w:sz w:val="22"/>
          <w:szCs w:val="22"/>
          <w:lang w:val="en-US"/>
        </w:rPr>
        <w:t xml:space="preserve">. </w:t>
      </w:r>
    </w:p>
    <w:p w14:paraId="4763D66C" w14:textId="77777777" w:rsidR="00540431" w:rsidRPr="00641444" w:rsidRDefault="00540431" w:rsidP="00540431">
      <w:pPr>
        <w:pStyle w:val="Default"/>
        <w:jc w:val="both"/>
        <w:rPr>
          <w:rFonts w:ascii="Georgia" w:hAnsi="Georgia" w:cs="Arial"/>
          <w:sz w:val="22"/>
          <w:szCs w:val="22"/>
          <w:lang w:val="en-US"/>
        </w:rPr>
      </w:pPr>
      <w:r w:rsidRPr="00641444">
        <w:rPr>
          <w:rFonts w:ascii="Georgia" w:hAnsi="Georgia" w:cs="Arial"/>
          <w:sz w:val="22"/>
          <w:szCs w:val="22"/>
          <w:lang w:val="en-US"/>
        </w:rPr>
        <w:t xml:space="preserve">All submissions must use the </w:t>
      </w:r>
      <w:r w:rsidRPr="00641444">
        <w:rPr>
          <w:rFonts w:ascii="Georgia" w:hAnsi="Georgia" w:cs="Arial"/>
          <w:b/>
          <w:sz w:val="22"/>
          <w:szCs w:val="22"/>
          <w:lang w:val="en-US"/>
        </w:rPr>
        <w:t>submission template</w:t>
      </w:r>
      <w:r w:rsidRPr="00641444">
        <w:rPr>
          <w:rFonts w:ascii="Georgia" w:hAnsi="Georgia" w:cs="Arial"/>
          <w:sz w:val="22"/>
          <w:szCs w:val="22"/>
          <w:lang w:val="en-US"/>
        </w:rPr>
        <w:t xml:space="preserve"> and </w:t>
      </w:r>
      <w:r w:rsidRPr="00641444">
        <w:rPr>
          <w:rFonts w:ascii="Georgia" w:hAnsi="Georgia" w:cs="Arial"/>
          <w:b/>
          <w:sz w:val="22"/>
          <w:szCs w:val="22"/>
          <w:lang w:val="en-US"/>
        </w:rPr>
        <w:t>use the submission procedure</w:t>
      </w:r>
      <w:r w:rsidRPr="00641444">
        <w:rPr>
          <w:rFonts w:ascii="Georgia" w:hAnsi="Georgia" w:cs="Arial"/>
          <w:sz w:val="22"/>
          <w:szCs w:val="22"/>
          <w:lang w:val="en-US"/>
        </w:rPr>
        <w:t xml:space="preserve"> on the webpage otherwise they will not be considered for review. </w:t>
      </w:r>
    </w:p>
    <w:p w14:paraId="5C25D383" w14:textId="77777777" w:rsidR="00540431" w:rsidRDefault="00540431" w:rsidP="00540431">
      <w:pPr>
        <w:pStyle w:val="Default"/>
        <w:jc w:val="both"/>
        <w:rPr>
          <w:rFonts w:ascii="Georgia" w:hAnsi="Georgia" w:cs="Arial"/>
          <w:sz w:val="22"/>
          <w:szCs w:val="22"/>
          <w:lang w:val="en-US"/>
        </w:rPr>
      </w:pPr>
      <w:r w:rsidRPr="00641444">
        <w:rPr>
          <w:rFonts w:ascii="Georgia" w:hAnsi="Georgia" w:cs="Arial"/>
          <w:b/>
          <w:sz w:val="22"/>
          <w:szCs w:val="22"/>
          <w:lang w:val="en-US"/>
        </w:rPr>
        <w:t xml:space="preserve">Submit your paper </w:t>
      </w:r>
      <w:r w:rsidRPr="005E68CD">
        <w:rPr>
          <w:rFonts w:ascii="Georgia" w:hAnsi="Georgia" w:cs="Arial"/>
          <w:b/>
          <w:sz w:val="22"/>
          <w:szCs w:val="22"/>
          <w:lang w:val="en-US"/>
        </w:rPr>
        <w:t>here</w:t>
      </w:r>
      <w:r w:rsidRPr="005A34F7">
        <w:rPr>
          <w:rFonts w:ascii="Georgia" w:hAnsi="Georgia" w:cs="Arial"/>
          <w:sz w:val="22"/>
          <w:szCs w:val="22"/>
          <w:lang w:val="en-US"/>
        </w:rPr>
        <w:t>.</w:t>
      </w:r>
    </w:p>
    <w:p w14:paraId="3230201B" w14:textId="77777777" w:rsidR="00540431" w:rsidRPr="005A34F7" w:rsidRDefault="00540431" w:rsidP="00540431">
      <w:pPr>
        <w:pStyle w:val="Default"/>
        <w:jc w:val="both"/>
        <w:rPr>
          <w:rFonts w:ascii="Georgia" w:hAnsi="Georgia" w:cs="Arial"/>
          <w:b/>
          <w:sz w:val="22"/>
          <w:szCs w:val="22"/>
          <w:lang w:val="en-US"/>
        </w:rPr>
      </w:pPr>
    </w:p>
    <w:p w14:paraId="7B4C8BA3" w14:textId="77777777" w:rsidR="00540431" w:rsidRPr="00641444" w:rsidRDefault="00540431" w:rsidP="00540431">
      <w:pPr>
        <w:pStyle w:val="Default"/>
        <w:jc w:val="both"/>
        <w:rPr>
          <w:rFonts w:ascii="Georgia" w:hAnsi="Georgia" w:cs="Arial"/>
          <w:b/>
          <w:sz w:val="22"/>
          <w:szCs w:val="22"/>
          <w:lang w:val="en-US"/>
        </w:rPr>
      </w:pPr>
      <w:r w:rsidRPr="00641444">
        <w:rPr>
          <w:rFonts w:ascii="Georgia" w:hAnsi="Georgia" w:cs="Arial"/>
          <w:b/>
          <w:sz w:val="22"/>
          <w:szCs w:val="22"/>
          <w:lang w:val="en-US"/>
        </w:rPr>
        <w:t xml:space="preserve">The registration for the </w:t>
      </w:r>
      <w:r w:rsidR="005E68CD">
        <w:rPr>
          <w:rFonts w:ascii="Georgia" w:hAnsi="Georgia" w:cs="Arial"/>
          <w:b/>
          <w:sz w:val="22"/>
          <w:szCs w:val="22"/>
          <w:lang w:val="en-US"/>
        </w:rPr>
        <w:t>MORSE</w:t>
      </w:r>
      <w:r>
        <w:rPr>
          <w:rFonts w:ascii="Georgia" w:hAnsi="Georgia" w:cs="Arial"/>
          <w:b/>
          <w:sz w:val="22"/>
          <w:szCs w:val="22"/>
          <w:lang w:val="en-US"/>
        </w:rPr>
        <w:t xml:space="preserve"> 202</w:t>
      </w:r>
      <w:r w:rsidR="005E68CD">
        <w:rPr>
          <w:rFonts w:ascii="Georgia" w:hAnsi="Georgia" w:cs="Arial"/>
          <w:b/>
          <w:sz w:val="22"/>
          <w:szCs w:val="22"/>
          <w:lang w:val="en-US"/>
        </w:rPr>
        <w:t>3</w:t>
      </w:r>
      <w:r>
        <w:rPr>
          <w:rFonts w:ascii="Georgia" w:hAnsi="Georgia" w:cs="Arial"/>
          <w:b/>
          <w:sz w:val="22"/>
          <w:szCs w:val="22"/>
          <w:lang w:val="en-US"/>
        </w:rPr>
        <w:t xml:space="preserve"> will be </w:t>
      </w:r>
      <w:r w:rsidRPr="00641444">
        <w:rPr>
          <w:rFonts w:ascii="Georgia" w:hAnsi="Georgia" w:cs="Arial"/>
          <w:b/>
          <w:sz w:val="22"/>
          <w:szCs w:val="22"/>
          <w:lang w:val="en-US"/>
        </w:rPr>
        <w:t xml:space="preserve">open </w:t>
      </w:r>
      <w:r w:rsidRPr="005A34F7">
        <w:rPr>
          <w:rFonts w:ascii="Georgia" w:hAnsi="Georgia" w:cs="Arial"/>
          <w:b/>
          <w:sz w:val="22"/>
          <w:szCs w:val="22"/>
          <w:lang w:val="en-US"/>
        </w:rPr>
        <w:t>until 31st August</w:t>
      </w:r>
      <w:r>
        <w:rPr>
          <w:rFonts w:ascii="Georgia" w:hAnsi="Georgia" w:cs="Arial"/>
          <w:b/>
          <w:sz w:val="22"/>
          <w:szCs w:val="22"/>
          <w:lang w:val="en-US"/>
        </w:rPr>
        <w:t>,</w:t>
      </w:r>
      <w:r w:rsidRPr="005A34F7">
        <w:rPr>
          <w:rFonts w:ascii="Georgia" w:hAnsi="Georgia" w:cs="Arial"/>
          <w:b/>
          <w:sz w:val="22"/>
          <w:szCs w:val="22"/>
          <w:lang w:val="en-US"/>
        </w:rPr>
        <w:t xml:space="preserve"> 20</w:t>
      </w:r>
      <w:r>
        <w:rPr>
          <w:rFonts w:ascii="Georgia" w:hAnsi="Georgia" w:cs="Arial"/>
          <w:b/>
          <w:sz w:val="22"/>
          <w:szCs w:val="22"/>
          <w:lang w:val="en-US"/>
        </w:rPr>
        <w:t>2</w:t>
      </w:r>
      <w:r w:rsidR="005E68CD">
        <w:rPr>
          <w:rFonts w:ascii="Georgia" w:hAnsi="Georgia" w:cs="Arial"/>
          <w:b/>
          <w:sz w:val="22"/>
          <w:szCs w:val="22"/>
          <w:lang w:val="en-US"/>
        </w:rPr>
        <w:t>3</w:t>
      </w:r>
      <w:r w:rsidRPr="00641444">
        <w:rPr>
          <w:rFonts w:ascii="Georgia" w:hAnsi="Georgia" w:cs="Arial"/>
          <w:b/>
          <w:sz w:val="22"/>
          <w:szCs w:val="22"/>
          <w:lang w:val="en-US"/>
        </w:rPr>
        <w:t xml:space="preserve">. </w:t>
      </w:r>
    </w:p>
    <w:p w14:paraId="4295F8A1" w14:textId="77777777" w:rsidR="00540431" w:rsidRPr="005A34F7" w:rsidRDefault="00540431" w:rsidP="00540431">
      <w:pPr>
        <w:pStyle w:val="Default"/>
        <w:jc w:val="both"/>
        <w:rPr>
          <w:rFonts w:ascii="Georgia" w:hAnsi="Georgia" w:cs="Arial"/>
          <w:b/>
          <w:sz w:val="20"/>
          <w:szCs w:val="20"/>
          <w:lang w:val="en-US"/>
        </w:rPr>
      </w:pPr>
      <w:r w:rsidRPr="00641444">
        <w:rPr>
          <w:rFonts w:ascii="Georgia" w:hAnsi="Georgia" w:cs="Arial"/>
          <w:b/>
          <w:sz w:val="22"/>
          <w:szCs w:val="22"/>
          <w:lang w:val="en-US"/>
        </w:rPr>
        <w:t xml:space="preserve">Register </w:t>
      </w:r>
      <w:r w:rsidRPr="005E68CD">
        <w:rPr>
          <w:rFonts w:ascii="Georgia" w:hAnsi="Georgia" w:cs="Arial"/>
          <w:b/>
          <w:sz w:val="22"/>
          <w:szCs w:val="22"/>
          <w:lang w:val="en-US"/>
        </w:rPr>
        <w:t>here</w:t>
      </w:r>
      <w:r w:rsidRPr="005A34F7">
        <w:rPr>
          <w:rFonts w:ascii="Georgia" w:hAnsi="Georgia" w:cs="Arial"/>
          <w:b/>
          <w:sz w:val="22"/>
          <w:szCs w:val="22"/>
          <w:lang w:val="en-GB"/>
        </w:rPr>
        <w:t>.</w:t>
      </w:r>
    </w:p>
    <w:p w14:paraId="0E70219E" w14:textId="1E280F2D" w:rsidR="00201F97" w:rsidRDefault="00201F97" w:rsidP="00540431">
      <w:pPr>
        <w:pStyle w:val="Default"/>
        <w:jc w:val="both"/>
        <w:rPr>
          <w:lang w:val="en-US"/>
        </w:rPr>
      </w:pPr>
    </w:p>
    <w:p w14:paraId="29512FEC" w14:textId="3E8AA5DD" w:rsidR="00945EB9" w:rsidRPr="00201F97" w:rsidRDefault="00945EB9" w:rsidP="00945EB9">
      <w:pPr>
        <w:pStyle w:val="Default"/>
        <w:jc w:val="both"/>
        <w:rPr>
          <w:lang w:val="en-US"/>
        </w:rPr>
      </w:pPr>
      <w:r>
        <w:rPr>
          <w:lang w:val="en-US"/>
        </w:rPr>
        <w:t xml:space="preserve"> </w:t>
      </w:r>
    </w:p>
    <w:sectPr w:rsidR="00945EB9" w:rsidRPr="00201F97" w:rsidSect="00201F97">
      <w:footerReference w:type="default" r:id="rId8"/>
      <w:pgSz w:w="11906" w:h="16838"/>
      <w:pgMar w:top="568" w:right="991" w:bottom="1134" w:left="993" w:header="708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8171A" w14:textId="77777777" w:rsidR="00381CF0" w:rsidRDefault="00381CF0" w:rsidP="00201F97">
      <w:pPr>
        <w:spacing w:after="0" w:line="240" w:lineRule="auto"/>
      </w:pPr>
      <w:r>
        <w:separator/>
      </w:r>
    </w:p>
  </w:endnote>
  <w:endnote w:type="continuationSeparator" w:id="0">
    <w:p w14:paraId="25FA5DA2" w14:textId="77777777" w:rsidR="00381CF0" w:rsidRDefault="00381CF0" w:rsidP="00201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icCommercial LT Light">
    <w:altName w:val="Calibri"/>
    <w:charset w:val="00"/>
    <w:family w:val="auto"/>
    <w:pitch w:val="variable"/>
    <w:sig w:usb0="80000007" w:usb1="0000004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Next LT W1G">
    <w:altName w:val="Corbel"/>
    <w:panose1 w:val="00000000000000000000"/>
    <w:charset w:val="00"/>
    <w:family w:val="swiss"/>
    <w:notTrueType/>
    <w:pitch w:val="variable"/>
    <w:sig w:usb0="A00002AF" w:usb1="5000205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AD6C0" w14:textId="77777777" w:rsidR="00201F97" w:rsidRPr="00C23716" w:rsidRDefault="00C23716" w:rsidP="00C23716">
    <w:pPr>
      <w:pStyle w:val="Footer"/>
    </w:pPr>
    <w:r w:rsidRPr="00B7000E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3BE77B5E" wp14:editId="3A7493F9">
          <wp:simplePos x="0" y="0"/>
          <wp:positionH relativeFrom="margin">
            <wp:posOffset>-462038</wp:posOffset>
          </wp:positionH>
          <wp:positionV relativeFrom="paragraph">
            <wp:posOffset>-268726</wp:posOffset>
          </wp:positionV>
          <wp:extent cx="1630680" cy="417830"/>
          <wp:effectExtent l="0" t="0" r="7620" b="1270"/>
          <wp:wrapNone/>
          <wp:docPr id="61" name="Grafik 61" descr="https://logos-download.com/wp-content/uploads/2017/11/Maastricht_University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ogos-download.com/wp-content/uploads/2017/11/Maastricht_University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979C5" w14:textId="77777777" w:rsidR="00381CF0" w:rsidRDefault="00381CF0" w:rsidP="00201F97">
      <w:pPr>
        <w:spacing w:after="0" w:line="240" w:lineRule="auto"/>
      </w:pPr>
      <w:r>
        <w:separator/>
      </w:r>
    </w:p>
  </w:footnote>
  <w:footnote w:type="continuationSeparator" w:id="0">
    <w:p w14:paraId="7E2D3B6A" w14:textId="77777777" w:rsidR="00381CF0" w:rsidRDefault="00381CF0" w:rsidP="00201F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77F62"/>
    <w:multiLevelType w:val="hybridMultilevel"/>
    <w:tmpl w:val="29040CB2"/>
    <w:lvl w:ilvl="0" w:tplc="5DD40F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A6F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368B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4855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3458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B4A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60D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BA0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8C0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95038CE"/>
    <w:multiLevelType w:val="hybridMultilevel"/>
    <w:tmpl w:val="F53C8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4092F"/>
    <w:multiLevelType w:val="hybridMultilevel"/>
    <w:tmpl w:val="2A64910E"/>
    <w:lvl w:ilvl="0" w:tplc="1A8247DC">
      <w:numFmt w:val="bullet"/>
      <w:lvlText w:val="-"/>
      <w:lvlJc w:val="left"/>
      <w:pPr>
        <w:ind w:left="720" w:hanging="360"/>
      </w:pPr>
      <w:rPr>
        <w:rFonts w:ascii="BasicCommercial LT Light" w:eastAsiaTheme="minorHAnsi" w:hAnsi="BasicCommercial LT Light" w:cs="BasicCommercial LT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7F2D89"/>
    <w:multiLevelType w:val="hybridMultilevel"/>
    <w:tmpl w:val="56ECF71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21912"/>
    <w:multiLevelType w:val="hybridMultilevel"/>
    <w:tmpl w:val="0F9E7D60"/>
    <w:lvl w:ilvl="0" w:tplc="846237B6">
      <w:numFmt w:val="bullet"/>
      <w:lvlText w:val="-"/>
      <w:lvlJc w:val="left"/>
      <w:pPr>
        <w:ind w:left="360" w:hanging="360"/>
      </w:pPr>
      <w:rPr>
        <w:rFonts w:ascii="Frutiger Next LT W1G" w:eastAsia="Times New Roman" w:hAnsi="Frutiger Next LT W1G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41510C"/>
    <w:multiLevelType w:val="hybridMultilevel"/>
    <w:tmpl w:val="DFE03EF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0305FA"/>
    <w:multiLevelType w:val="hybridMultilevel"/>
    <w:tmpl w:val="07C6760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5464834">
    <w:abstractNumId w:val="4"/>
  </w:num>
  <w:num w:numId="2" w16cid:durableId="764770109">
    <w:abstractNumId w:val="6"/>
  </w:num>
  <w:num w:numId="3" w16cid:durableId="208230333">
    <w:abstractNumId w:val="1"/>
  </w:num>
  <w:num w:numId="4" w16cid:durableId="1991442955">
    <w:abstractNumId w:val="5"/>
  </w:num>
  <w:num w:numId="5" w16cid:durableId="1787698490">
    <w:abstractNumId w:val="3"/>
  </w:num>
  <w:num w:numId="6" w16cid:durableId="1872915285">
    <w:abstractNumId w:val="0"/>
  </w:num>
  <w:num w:numId="7" w16cid:durableId="9619622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nl-NL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de-CH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EwBRKmhmbGJkCgpKMUnFpcnJmfB1JgWAsA1ZtOKSwAAAA="/>
  </w:docVars>
  <w:rsids>
    <w:rsidRoot w:val="00201F97"/>
    <w:rsid w:val="0000502F"/>
    <w:rsid w:val="00044273"/>
    <w:rsid w:val="000D0B9B"/>
    <w:rsid w:val="00201F97"/>
    <w:rsid w:val="00224742"/>
    <w:rsid w:val="00231F70"/>
    <w:rsid w:val="002C5AB2"/>
    <w:rsid w:val="002E061C"/>
    <w:rsid w:val="00381CF0"/>
    <w:rsid w:val="00405461"/>
    <w:rsid w:val="00425C3C"/>
    <w:rsid w:val="00532D95"/>
    <w:rsid w:val="005338E7"/>
    <w:rsid w:val="00540431"/>
    <w:rsid w:val="005E63FC"/>
    <w:rsid w:val="005E68CD"/>
    <w:rsid w:val="005F2428"/>
    <w:rsid w:val="00603C12"/>
    <w:rsid w:val="00657074"/>
    <w:rsid w:val="006918C1"/>
    <w:rsid w:val="006E7649"/>
    <w:rsid w:val="006E7F54"/>
    <w:rsid w:val="006F7B35"/>
    <w:rsid w:val="00710759"/>
    <w:rsid w:val="00742B35"/>
    <w:rsid w:val="00744863"/>
    <w:rsid w:val="0077035F"/>
    <w:rsid w:val="007A6963"/>
    <w:rsid w:val="007C71F0"/>
    <w:rsid w:val="007E2DC7"/>
    <w:rsid w:val="007E6016"/>
    <w:rsid w:val="007F04D3"/>
    <w:rsid w:val="008137D9"/>
    <w:rsid w:val="00840082"/>
    <w:rsid w:val="008909F4"/>
    <w:rsid w:val="008C6CC1"/>
    <w:rsid w:val="00945EB9"/>
    <w:rsid w:val="00953D56"/>
    <w:rsid w:val="00957088"/>
    <w:rsid w:val="009D63C3"/>
    <w:rsid w:val="00A532AE"/>
    <w:rsid w:val="00AF7E78"/>
    <w:rsid w:val="00B364F6"/>
    <w:rsid w:val="00C23716"/>
    <w:rsid w:val="00CC094F"/>
    <w:rsid w:val="00D24D12"/>
    <w:rsid w:val="00D50FF7"/>
    <w:rsid w:val="00D6181A"/>
    <w:rsid w:val="00D637F3"/>
    <w:rsid w:val="00D720DD"/>
    <w:rsid w:val="00D76165"/>
    <w:rsid w:val="00D93D83"/>
    <w:rsid w:val="00E82DB1"/>
    <w:rsid w:val="00F160AE"/>
    <w:rsid w:val="00F90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1A5C98"/>
  <w15:chartTrackingRefBased/>
  <w15:docId w15:val="{875EFD9B-99DB-4217-86A3-894C107FC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F97"/>
  </w:style>
  <w:style w:type="paragraph" w:styleId="Footer">
    <w:name w:val="footer"/>
    <w:basedOn w:val="Normal"/>
    <w:link w:val="FooterChar"/>
    <w:uiPriority w:val="99"/>
    <w:unhideWhenUsed/>
    <w:rsid w:val="00201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F97"/>
  </w:style>
  <w:style w:type="paragraph" w:customStyle="1" w:styleId="Default">
    <w:name w:val="Default"/>
    <w:rsid w:val="00201F97"/>
    <w:pPr>
      <w:autoSpaceDE w:val="0"/>
      <w:autoSpaceDN w:val="0"/>
      <w:adjustRightInd w:val="0"/>
      <w:spacing w:after="0" w:line="240" w:lineRule="auto"/>
    </w:pPr>
    <w:rPr>
      <w:rFonts w:ascii="BasicCommercial LT Light" w:hAnsi="BasicCommercial LT Light" w:cs="BasicCommercial LT Light"/>
      <w:color w:val="000000"/>
      <w:sz w:val="24"/>
      <w:szCs w:val="24"/>
    </w:rPr>
  </w:style>
  <w:style w:type="character" w:styleId="Hyperlink">
    <w:name w:val="Hyperlink"/>
    <w:rsid w:val="00201F9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31F70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1F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918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6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7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74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16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2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427</Words>
  <Characters>2440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FHGR Chur</Company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Rainalter Jeanine</dc:creator>
  <cp:keywords/>
  <dc:description/>
  <cp:lastModifiedBy>Treibich, Tania (ALGEC)</cp:lastModifiedBy>
  <cp:revision>3</cp:revision>
  <dcterms:created xsi:type="dcterms:W3CDTF">2023-04-01T08:07:00Z</dcterms:created>
  <dcterms:modified xsi:type="dcterms:W3CDTF">2023-04-01T08:16:00Z</dcterms:modified>
</cp:coreProperties>
</file>