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AB1A" w14:textId="77777777" w:rsidR="0067252C" w:rsidRDefault="0067252C" w:rsidP="0067252C">
      <w:r>
        <w:rPr>
          <w:noProof/>
          <w:lang w:val="en-GB" w:eastAsia="en-GB"/>
        </w:rPr>
        <w:drawing>
          <wp:inline distT="0" distB="0" distL="0" distR="0" wp14:anchorId="2F10678D" wp14:editId="236153DB">
            <wp:extent cx="6300470" cy="3367405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6ED0B" w14:textId="77777777" w:rsidR="0067252C" w:rsidRPr="005F2428" w:rsidRDefault="0067252C" w:rsidP="0067252C">
      <w:pPr>
        <w:tabs>
          <w:tab w:val="left" w:pos="284"/>
        </w:tabs>
        <w:spacing w:line="240" w:lineRule="auto"/>
        <w:jc w:val="center"/>
        <w:rPr>
          <w:rFonts w:ascii="Georgia" w:hAnsi="Georgia" w:cs="Arial"/>
          <w:b/>
          <w:bCs/>
          <w:sz w:val="28"/>
          <w:szCs w:val="28"/>
          <w:lang w:val="en-US" w:eastAsia="de-CH"/>
        </w:rPr>
      </w:pPr>
      <w:r w:rsidRPr="005F2428">
        <w:rPr>
          <w:rFonts w:ascii="Georgia" w:hAnsi="Georgia" w:cs="Arial"/>
          <w:b/>
          <w:bCs/>
          <w:sz w:val="28"/>
          <w:szCs w:val="28"/>
          <w:lang w:val="en-US" w:eastAsia="de-CH"/>
        </w:rPr>
        <w:t xml:space="preserve">Call for </w:t>
      </w:r>
      <w:proofErr w:type="gramStart"/>
      <w:r w:rsidRPr="005F2428">
        <w:rPr>
          <w:rFonts w:ascii="Georgia" w:hAnsi="Georgia" w:cs="Arial"/>
          <w:b/>
          <w:bCs/>
          <w:sz w:val="28"/>
          <w:szCs w:val="28"/>
          <w:lang w:val="en-US" w:eastAsia="de-CH"/>
        </w:rPr>
        <w:t>Papers</w:t>
      </w:r>
      <w:proofErr w:type="gramEnd"/>
    </w:p>
    <w:p w14:paraId="2410AEB7" w14:textId="77777777" w:rsidR="0067252C" w:rsidRPr="006F7B35" w:rsidRDefault="0067252C" w:rsidP="0067252C">
      <w:pPr>
        <w:tabs>
          <w:tab w:val="left" w:pos="284"/>
        </w:tabs>
        <w:spacing w:line="240" w:lineRule="auto"/>
        <w:jc w:val="center"/>
        <w:rPr>
          <w:rFonts w:ascii="Georgia" w:hAnsi="Georgia" w:cs="Arial"/>
          <w:sz w:val="21"/>
          <w:szCs w:val="21"/>
          <w:lang w:val="en-US" w:eastAsia="de-CH"/>
        </w:rPr>
      </w:pPr>
      <w:r>
        <w:rPr>
          <w:rFonts w:ascii="Georgia" w:hAnsi="Georgia" w:cs="Arial"/>
          <w:sz w:val="21"/>
          <w:szCs w:val="21"/>
          <w:lang w:val="en-US" w:eastAsia="de-CH"/>
        </w:rPr>
        <w:t>Maastricht Observatory for Responsible, Resilient and Sustainable Societies, Economies and Enterprises</w:t>
      </w:r>
    </w:p>
    <w:p w14:paraId="2F0B75A7" w14:textId="77777777" w:rsidR="0067252C" w:rsidRDefault="0067252C" w:rsidP="0067252C">
      <w:pPr>
        <w:tabs>
          <w:tab w:val="left" w:pos="284"/>
        </w:tabs>
        <w:spacing w:line="240" w:lineRule="auto"/>
        <w:jc w:val="center"/>
        <w:rPr>
          <w:rFonts w:ascii="Georgia" w:hAnsi="Georgia" w:cs="Arial"/>
          <w:sz w:val="21"/>
          <w:szCs w:val="21"/>
          <w:lang w:val="en-US" w:eastAsia="de-CH"/>
        </w:rPr>
      </w:pPr>
      <w:r>
        <w:rPr>
          <w:rFonts w:ascii="Georgia" w:hAnsi="Georgia" w:cs="Arial"/>
          <w:sz w:val="21"/>
          <w:szCs w:val="21"/>
          <w:lang w:val="en-US" w:eastAsia="de-CH"/>
        </w:rPr>
        <w:t>3rd</w:t>
      </w:r>
      <w:r w:rsidRPr="006F7B35">
        <w:rPr>
          <w:rFonts w:ascii="Georgia" w:hAnsi="Georgia" w:cs="Arial"/>
          <w:sz w:val="21"/>
          <w:szCs w:val="21"/>
          <w:lang w:val="en-US" w:eastAsia="de-CH"/>
        </w:rPr>
        <w:t xml:space="preserve"> Annual Conference 20</w:t>
      </w:r>
      <w:r>
        <w:rPr>
          <w:rFonts w:ascii="Georgia" w:hAnsi="Georgia" w:cs="Arial"/>
          <w:sz w:val="21"/>
          <w:szCs w:val="21"/>
          <w:lang w:val="en-US" w:eastAsia="de-CH"/>
        </w:rPr>
        <w:t>23</w:t>
      </w:r>
    </w:p>
    <w:p w14:paraId="65AD52F8" w14:textId="77777777" w:rsidR="0067252C" w:rsidRDefault="0067252C" w:rsidP="0067252C">
      <w:pPr>
        <w:pBdr>
          <w:between w:val="single" w:sz="4" w:space="1" w:color="44546A" w:themeColor="text2"/>
        </w:pBdr>
        <w:tabs>
          <w:tab w:val="left" w:pos="284"/>
        </w:tabs>
        <w:jc w:val="center"/>
        <w:rPr>
          <w:rFonts w:ascii="Georgia" w:hAnsi="Georgia" w:cs="Arial"/>
          <w:b/>
          <w:sz w:val="30"/>
          <w:szCs w:val="30"/>
          <w:lang w:val="en-US" w:eastAsia="de-CH"/>
        </w:rPr>
      </w:pPr>
      <w:r w:rsidRPr="00641444">
        <w:rPr>
          <w:rFonts w:ascii="Georgia" w:hAnsi="Georgia" w:cs="Arial"/>
          <w:b/>
          <w:sz w:val="30"/>
          <w:szCs w:val="30"/>
          <w:lang w:val="en-US" w:eastAsia="de-CH"/>
        </w:rPr>
        <w:t xml:space="preserve">Track: </w:t>
      </w:r>
    </w:p>
    <w:p w14:paraId="4554E2FD" w14:textId="7212A232" w:rsidR="0067252C" w:rsidRPr="00641444" w:rsidRDefault="00401133" w:rsidP="0067252C">
      <w:pPr>
        <w:pBdr>
          <w:between w:val="single" w:sz="4" w:space="1" w:color="44546A" w:themeColor="text2"/>
        </w:pBdr>
        <w:tabs>
          <w:tab w:val="left" w:pos="284"/>
        </w:tabs>
        <w:jc w:val="center"/>
        <w:rPr>
          <w:rFonts w:ascii="Georgia" w:hAnsi="Georgia" w:cs="Arial"/>
          <w:b/>
          <w:sz w:val="30"/>
          <w:szCs w:val="30"/>
          <w:lang w:val="en-US" w:eastAsia="de-CH"/>
        </w:rPr>
      </w:pPr>
      <w:r>
        <w:rPr>
          <w:rFonts w:ascii="Georgia" w:hAnsi="Georgia" w:cs="Arial"/>
          <w:b/>
          <w:sz w:val="30"/>
          <w:szCs w:val="30"/>
          <w:lang w:val="en-US" w:eastAsia="de-CH"/>
        </w:rPr>
        <w:t xml:space="preserve">Uncertainty </w:t>
      </w:r>
      <w:r w:rsidR="00B553B4">
        <w:rPr>
          <w:rFonts w:ascii="Georgia" w:hAnsi="Georgia" w:cs="Arial"/>
          <w:b/>
          <w:sz w:val="30"/>
          <w:szCs w:val="30"/>
          <w:lang w:val="en-US" w:eastAsia="de-CH"/>
        </w:rPr>
        <w:t>in</w:t>
      </w:r>
      <w:r>
        <w:rPr>
          <w:rFonts w:ascii="Georgia" w:hAnsi="Georgia" w:cs="Arial"/>
          <w:b/>
          <w:sz w:val="30"/>
          <w:szCs w:val="30"/>
          <w:lang w:val="en-US" w:eastAsia="de-CH"/>
        </w:rPr>
        <w:t xml:space="preserve"> Empirical Macroec</w:t>
      </w:r>
      <w:r w:rsidR="00B95AD8">
        <w:rPr>
          <w:rFonts w:ascii="Georgia" w:hAnsi="Georgia" w:cs="Arial"/>
          <w:b/>
          <w:sz w:val="30"/>
          <w:szCs w:val="30"/>
          <w:lang w:val="en-US" w:eastAsia="de-CH"/>
        </w:rPr>
        <w:t>o</w:t>
      </w:r>
      <w:r>
        <w:rPr>
          <w:rFonts w:ascii="Georgia" w:hAnsi="Georgia" w:cs="Arial"/>
          <w:b/>
          <w:sz w:val="30"/>
          <w:szCs w:val="30"/>
          <w:lang w:val="en-US" w:eastAsia="de-CH"/>
        </w:rPr>
        <w:t>nomics</w:t>
      </w:r>
    </w:p>
    <w:p w14:paraId="6494D727" w14:textId="77777777" w:rsidR="0067252C" w:rsidRPr="00641444" w:rsidRDefault="0067252C" w:rsidP="0067252C">
      <w:pPr>
        <w:tabs>
          <w:tab w:val="left" w:pos="284"/>
        </w:tabs>
        <w:jc w:val="center"/>
        <w:rPr>
          <w:rFonts w:ascii="Georgia" w:hAnsi="Georgia" w:cs="Arial"/>
          <w:sz w:val="21"/>
          <w:szCs w:val="21"/>
          <w:lang w:val="en-US" w:eastAsia="de-CH"/>
        </w:rPr>
      </w:pPr>
      <w:r>
        <w:rPr>
          <w:rFonts w:ascii="Georgia" w:hAnsi="Georgia" w:cs="Arial"/>
          <w:sz w:val="21"/>
          <w:szCs w:val="21"/>
          <w:lang w:val="en-US" w:eastAsia="de-CH"/>
        </w:rPr>
        <w:t xml:space="preserve">Maastricht, </w:t>
      </w:r>
      <w:r w:rsidRPr="006F7B35">
        <w:rPr>
          <w:rFonts w:ascii="Georgia" w:hAnsi="Georgia" w:cs="Arial"/>
          <w:sz w:val="21"/>
          <w:szCs w:val="21"/>
          <w:lang w:val="en-US" w:eastAsia="de-CH"/>
        </w:rPr>
        <w:t xml:space="preserve">the Netherlands, </w:t>
      </w:r>
      <w:r>
        <w:rPr>
          <w:rFonts w:ascii="Georgia" w:hAnsi="Georgia" w:cs="Arial"/>
          <w:sz w:val="21"/>
          <w:szCs w:val="21"/>
          <w:lang w:val="en-US" w:eastAsia="de-CH"/>
        </w:rPr>
        <w:t>23</w:t>
      </w:r>
      <w:r w:rsidRPr="006F7B35">
        <w:rPr>
          <w:rFonts w:ascii="Georgia" w:hAnsi="Georgia" w:cs="Arial"/>
          <w:sz w:val="21"/>
          <w:szCs w:val="21"/>
          <w:lang w:val="en-US" w:eastAsia="de-CH"/>
        </w:rPr>
        <w:t>-</w:t>
      </w:r>
      <w:r>
        <w:rPr>
          <w:rFonts w:ascii="Georgia" w:hAnsi="Georgia" w:cs="Arial"/>
          <w:sz w:val="21"/>
          <w:szCs w:val="21"/>
          <w:lang w:val="en-US" w:eastAsia="de-CH"/>
        </w:rPr>
        <w:t>25</w:t>
      </w:r>
      <w:r w:rsidRPr="006F7B35">
        <w:rPr>
          <w:rFonts w:ascii="Georgia" w:hAnsi="Georgia" w:cs="Arial"/>
          <w:sz w:val="21"/>
          <w:szCs w:val="21"/>
          <w:lang w:val="en-US" w:eastAsia="de-CH"/>
        </w:rPr>
        <w:t xml:space="preserve"> October 20</w:t>
      </w:r>
      <w:r>
        <w:rPr>
          <w:rFonts w:ascii="Georgia" w:hAnsi="Georgia" w:cs="Arial"/>
          <w:sz w:val="21"/>
          <w:szCs w:val="21"/>
          <w:lang w:val="en-US" w:eastAsia="de-CH"/>
        </w:rPr>
        <w:t>23</w:t>
      </w:r>
    </w:p>
    <w:p w14:paraId="3D0EEBCE" w14:textId="77777777" w:rsidR="0067252C" w:rsidRDefault="0067252C" w:rsidP="0067252C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</w:p>
    <w:p w14:paraId="00790240" w14:textId="77777777" w:rsidR="0067252C" w:rsidRPr="00641444" w:rsidRDefault="0067252C" w:rsidP="0067252C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  <w:r w:rsidRPr="00641444">
        <w:rPr>
          <w:rFonts w:ascii="Georgia" w:hAnsi="Georgia" w:cs="Arial"/>
          <w:b/>
          <w:sz w:val="22"/>
          <w:szCs w:val="22"/>
          <w:lang w:val="en-GB"/>
        </w:rPr>
        <w:t xml:space="preserve">Track Chairs: </w:t>
      </w:r>
    </w:p>
    <w:p w14:paraId="1EC8A512" w14:textId="1301CDD7" w:rsidR="00FF1F7E" w:rsidRPr="00296237" w:rsidRDefault="00CB0FCC" w:rsidP="00FF1F7E">
      <w:pPr>
        <w:pStyle w:val="Default"/>
        <w:tabs>
          <w:tab w:val="left" w:pos="1920"/>
        </w:tabs>
        <w:jc w:val="both"/>
        <w:rPr>
          <w:rFonts w:ascii="Georgia" w:hAnsi="Georgia" w:cs="Arial"/>
          <w:sz w:val="22"/>
          <w:szCs w:val="22"/>
          <w:lang w:val="en-US"/>
        </w:rPr>
      </w:pPr>
      <w:bookmarkStart w:id="0" w:name="_Hlk65490834"/>
      <w:r w:rsidRPr="00B553B4">
        <w:rPr>
          <w:rFonts w:ascii="Georgia" w:hAnsi="Georgia" w:cs="Arial"/>
          <w:sz w:val="22"/>
          <w:szCs w:val="22"/>
          <w:lang w:val="en-US"/>
        </w:rPr>
        <w:t>Giulia Piccill</w:t>
      </w:r>
      <w:r w:rsidR="00FF1F7E" w:rsidRPr="00B553B4">
        <w:rPr>
          <w:rFonts w:ascii="Georgia" w:hAnsi="Georgia" w:cs="Arial"/>
          <w:sz w:val="22"/>
          <w:szCs w:val="22"/>
          <w:lang w:val="en-US"/>
        </w:rPr>
        <w:t xml:space="preserve">o, Poramapa </w:t>
      </w:r>
      <w:r w:rsidR="00FF1F7E" w:rsidRPr="00B553B4">
        <w:rPr>
          <w:rFonts w:ascii="Georgia" w:hAnsi="Georgia" w:cs="Arial"/>
          <w:color w:val="auto"/>
          <w:sz w:val="22"/>
          <w:szCs w:val="22"/>
          <w:lang w:val="en-US"/>
        </w:rPr>
        <w:t>Poonpakdee</w:t>
      </w:r>
    </w:p>
    <w:bookmarkEnd w:id="0"/>
    <w:p w14:paraId="73CB8FF9" w14:textId="77777777" w:rsidR="0067252C" w:rsidRPr="00296237" w:rsidRDefault="0067252C" w:rsidP="0067252C">
      <w:pPr>
        <w:pStyle w:val="Default"/>
        <w:jc w:val="both"/>
        <w:rPr>
          <w:rFonts w:ascii="Georgia" w:hAnsi="Georgia" w:cs="Arial"/>
          <w:sz w:val="22"/>
          <w:szCs w:val="22"/>
          <w:lang w:val="en-US"/>
        </w:rPr>
      </w:pPr>
    </w:p>
    <w:p w14:paraId="635F4B73" w14:textId="77777777" w:rsidR="0067252C" w:rsidRPr="00641444" w:rsidRDefault="0067252C" w:rsidP="0067252C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  <w:r w:rsidRPr="00641444">
        <w:rPr>
          <w:rFonts w:ascii="Georgia" w:hAnsi="Georgia" w:cs="Arial"/>
          <w:b/>
          <w:sz w:val="22"/>
          <w:szCs w:val="22"/>
          <w:lang w:val="en-GB"/>
        </w:rPr>
        <w:t xml:space="preserve">Description of the track </w:t>
      </w:r>
    </w:p>
    <w:p w14:paraId="59DE6EB1" w14:textId="77777777" w:rsidR="0067252C" w:rsidRDefault="0067252C" w:rsidP="0067252C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</w:p>
    <w:p w14:paraId="5F644787" w14:textId="2C9CEE72" w:rsidR="00ED6EE5" w:rsidRDefault="000D2E2E" w:rsidP="0067252C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  <w:r w:rsidRPr="001835E0">
        <w:rPr>
          <w:rFonts w:ascii="Georgia" w:hAnsi="Georgia" w:cs="Arial"/>
          <w:sz w:val="22"/>
          <w:szCs w:val="22"/>
          <w:lang w:val="en-GB"/>
        </w:rPr>
        <w:t xml:space="preserve">The aim of this track is to bring together empirical evidence that </w:t>
      </w:r>
      <w:r w:rsidR="00A00DF6">
        <w:rPr>
          <w:rFonts w:ascii="Georgia" w:hAnsi="Georgia" w:cs="Arial"/>
          <w:sz w:val="22"/>
          <w:szCs w:val="22"/>
          <w:lang w:val="en-GB"/>
        </w:rPr>
        <w:t>helps</w:t>
      </w:r>
      <w:r w:rsidRPr="001835E0">
        <w:rPr>
          <w:rFonts w:ascii="Georgia" w:hAnsi="Georgia" w:cs="Arial"/>
          <w:sz w:val="22"/>
          <w:szCs w:val="22"/>
          <w:lang w:val="en-GB"/>
        </w:rPr>
        <w:t xml:space="preserve"> bridg</w:t>
      </w:r>
      <w:r w:rsidR="00A00DF6">
        <w:rPr>
          <w:rFonts w:ascii="Georgia" w:hAnsi="Georgia" w:cs="Arial"/>
          <w:sz w:val="22"/>
          <w:szCs w:val="22"/>
          <w:lang w:val="en-GB"/>
        </w:rPr>
        <w:t>ing</w:t>
      </w:r>
      <w:r w:rsidRPr="001835E0">
        <w:rPr>
          <w:rFonts w:ascii="Georgia" w:hAnsi="Georgia" w:cs="Arial"/>
          <w:sz w:val="22"/>
          <w:szCs w:val="22"/>
          <w:lang w:val="en-GB"/>
        </w:rPr>
        <w:t xml:space="preserve"> the gap between theoretical uncertainty and macroeconomic models.</w:t>
      </w:r>
      <w:r>
        <w:rPr>
          <w:rFonts w:ascii="Georgia" w:hAnsi="Georgia" w:cs="Arial"/>
          <w:sz w:val="22"/>
          <w:szCs w:val="22"/>
          <w:lang w:val="en-GB"/>
        </w:rPr>
        <w:t xml:space="preserve"> </w:t>
      </w:r>
      <w:r w:rsidR="00A00DF6" w:rsidRPr="00401133">
        <w:rPr>
          <w:rFonts w:ascii="Georgia" w:hAnsi="Georgia" w:cs="Arial"/>
          <w:sz w:val="22"/>
          <w:szCs w:val="22"/>
          <w:lang w:val="en-GB"/>
        </w:rPr>
        <w:t xml:space="preserve">Uncertainty has long been linked to adverse </w:t>
      </w:r>
      <w:r w:rsidR="00A00DF6">
        <w:rPr>
          <w:rFonts w:ascii="Georgia" w:hAnsi="Georgia" w:cs="Arial"/>
          <w:sz w:val="22"/>
          <w:szCs w:val="22"/>
          <w:lang w:val="en-GB"/>
        </w:rPr>
        <w:t>macro</w:t>
      </w:r>
      <w:r w:rsidR="00A00DF6" w:rsidRPr="00401133">
        <w:rPr>
          <w:rFonts w:ascii="Georgia" w:hAnsi="Georgia" w:cs="Arial"/>
          <w:sz w:val="22"/>
          <w:szCs w:val="22"/>
          <w:lang w:val="en-GB"/>
        </w:rPr>
        <w:t>economic outcomes</w:t>
      </w:r>
      <w:r w:rsidR="00A00DF6">
        <w:rPr>
          <w:rFonts w:ascii="Georgia" w:hAnsi="Georgia" w:cs="Arial"/>
          <w:sz w:val="22"/>
          <w:szCs w:val="22"/>
          <w:lang w:val="en-GB"/>
        </w:rPr>
        <w:t xml:space="preserve"> transmitted through various</w:t>
      </w:r>
      <w:r w:rsidR="00A00DF6" w:rsidRPr="00922AF3">
        <w:rPr>
          <w:rFonts w:ascii="Georgia" w:hAnsi="Georgia" w:cs="Arial"/>
          <w:sz w:val="22"/>
          <w:szCs w:val="22"/>
          <w:lang w:val="en-GB"/>
        </w:rPr>
        <w:t xml:space="preserve"> </w:t>
      </w:r>
      <w:r w:rsidR="00A00DF6">
        <w:rPr>
          <w:rFonts w:ascii="Georgia" w:hAnsi="Georgia" w:cs="Arial"/>
          <w:sz w:val="22"/>
          <w:szCs w:val="22"/>
          <w:lang w:val="en-GB"/>
        </w:rPr>
        <w:t xml:space="preserve">mechanisms </w:t>
      </w:r>
      <w:r w:rsidR="00A00DF6" w:rsidRPr="00922AF3">
        <w:rPr>
          <w:rFonts w:ascii="Georgia" w:hAnsi="Georgia" w:cs="Arial"/>
          <w:sz w:val="22"/>
          <w:szCs w:val="22"/>
          <w:lang w:val="en-GB"/>
        </w:rPr>
        <w:t>such as financial friction</w:t>
      </w:r>
      <w:r w:rsidR="00A00DF6">
        <w:rPr>
          <w:rFonts w:ascii="Georgia" w:hAnsi="Georgia" w:cs="Arial"/>
          <w:sz w:val="22"/>
          <w:szCs w:val="22"/>
          <w:lang w:val="en-GB"/>
        </w:rPr>
        <w:t xml:space="preserve"> and pessimistic </w:t>
      </w:r>
      <w:r w:rsidR="00A00DF6" w:rsidRPr="00922AF3">
        <w:rPr>
          <w:rFonts w:ascii="Georgia" w:hAnsi="Georgia" w:cs="Arial"/>
          <w:sz w:val="22"/>
          <w:szCs w:val="22"/>
          <w:lang w:val="en-GB"/>
        </w:rPr>
        <w:t>expectations</w:t>
      </w:r>
      <w:r w:rsidR="00A00DF6">
        <w:rPr>
          <w:rFonts w:ascii="Georgia" w:hAnsi="Georgia" w:cs="Arial"/>
          <w:sz w:val="22"/>
          <w:szCs w:val="22"/>
          <w:lang w:val="en-GB"/>
        </w:rPr>
        <w:t xml:space="preserve">. </w:t>
      </w:r>
      <w:r w:rsidR="001835E0" w:rsidRPr="001835E0">
        <w:rPr>
          <w:rFonts w:ascii="Georgia" w:eastAsiaTheme="minorEastAsia" w:hAnsi="Georgia" w:cs="Browallia New"/>
          <w:sz w:val="22"/>
          <w:szCs w:val="28"/>
          <w:lang w:val="en-GB" w:eastAsia="ko-KR" w:bidi="th-TH"/>
        </w:rPr>
        <w:t>Knight (1921) identified two types of uncertainty: ambiguity and risk</w:t>
      </w:r>
      <w:r w:rsidR="00A00DF6">
        <w:rPr>
          <w:rFonts w:ascii="Georgia" w:eastAsiaTheme="minorEastAsia" w:hAnsi="Georgia" w:cs="Browallia New"/>
          <w:sz w:val="22"/>
          <w:szCs w:val="28"/>
          <w:lang w:val="en-GB" w:eastAsia="ko-KR" w:bidi="th-TH"/>
        </w:rPr>
        <w:t xml:space="preserve">, and </w:t>
      </w:r>
      <w:r w:rsidR="00A00DF6" w:rsidRPr="00A00DF6">
        <w:rPr>
          <w:rFonts w:ascii="Georgia" w:eastAsiaTheme="minorEastAsia" w:hAnsi="Georgia" w:cs="Browallia New"/>
          <w:sz w:val="22"/>
          <w:szCs w:val="28"/>
          <w:lang w:val="en-GB" w:eastAsia="ko-KR" w:bidi="th-TH"/>
        </w:rPr>
        <w:t>Ellsb</w:t>
      </w:r>
      <w:r w:rsidR="00B553B4">
        <w:rPr>
          <w:rFonts w:ascii="Georgia" w:eastAsiaTheme="minorEastAsia" w:hAnsi="Georgia" w:cs="Browallia New"/>
          <w:sz w:val="22"/>
          <w:szCs w:val="28"/>
          <w:lang w:val="en-GB" w:eastAsia="ko-KR" w:bidi="th-TH"/>
        </w:rPr>
        <w:t>e</w:t>
      </w:r>
      <w:r w:rsidR="00A00DF6" w:rsidRPr="00A00DF6">
        <w:rPr>
          <w:rFonts w:ascii="Georgia" w:eastAsiaTheme="minorEastAsia" w:hAnsi="Georgia" w:cs="Browallia New"/>
          <w:sz w:val="22"/>
          <w:szCs w:val="28"/>
          <w:lang w:val="en-GB" w:eastAsia="ko-KR" w:bidi="th-TH"/>
        </w:rPr>
        <w:t>rg (1961) theoretically showed that people respond differently to each.</w:t>
      </w:r>
      <w:r w:rsidR="001835E0" w:rsidRPr="001835E0">
        <w:rPr>
          <w:rFonts w:ascii="Georgia" w:eastAsiaTheme="minorEastAsia" w:hAnsi="Georgia" w:cs="Browallia New"/>
          <w:sz w:val="22"/>
          <w:szCs w:val="28"/>
          <w:lang w:val="en-GB" w:eastAsia="ko-KR" w:bidi="th-TH"/>
        </w:rPr>
        <w:t xml:space="preserve"> Ambiguity </w:t>
      </w:r>
      <w:r w:rsidR="00514D68">
        <w:rPr>
          <w:rFonts w:ascii="Georgia" w:eastAsiaTheme="minorEastAsia" w:hAnsi="Georgia" w:cs="Browallia New"/>
          <w:sz w:val="22"/>
          <w:szCs w:val="28"/>
          <w:lang w:val="en-GB" w:eastAsia="ko-KR" w:bidi="th-TH"/>
        </w:rPr>
        <w:t>refers to a situation in which</w:t>
      </w:r>
      <w:r w:rsidR="001835E0" w:rsidRPr="001835E0">
        <w:rPr>
          <w:rFonts w:ascii="Georgia" w:eastAsiaTheme="minorEastAsia" w:hAnsi="Georgia" w:cs="Browallia New"/>
          <w:sz w:val="22"/>
          <w:szCs w:val="28"/>
          <w:lang w:val="en-GB" w:eastAsia="ko-KR" w:bidi="th-TH"/>
        </w:rPr>
        <w:t xml:space="preserve"> the probability of a future event </w:t>
      </w:r>
      <w:r w:rsidR="00514D68">
        <w:rPr>
          <w:rFonts w:ascii="Georgia" w:eastAsiaTheme="minorEastAsia" w:hAnsi="Georgia" w:cs="Browallia New"/>
          <w:sz w:val="22"/>
          <w:szCs w:val="28"/>
          <w:lang w:val="en-GB" w:eastAsia="ko-KR" w:bidi="th-TH"/>
        </w:rPr>
        <w:t>cannot be determined</w:t>
      </w:r>
      <w:r w:rsidR="001835E0" w:rsidRPr="001835E0">
        <w:rPr>
          <w:rFonts w:ascii="Georgia" w:eastAsiaTheme="minorEastAsia" w:hAnsi="Georgia" w:cs="Browallia New"/>
          <w:sz w:val="22"/>
          <w:szCs w:val="28"/>
          <w:lang w:val="en-GB" w:eastAsia="ko-KR" w:bidi="th-TH"/>
        </w:rPr>
        <w:t>, while risk describes events where the likelihood is known</w:t>
      </w:r>
      <w:r w:rsidR="00A00DF6">
        <w:rPr>
          <w:rFonts w:ascii="Georgia" w:eastAsiaTheme="minorEastAsia" w:hAnsi="Georgia" w:cs="Browallia New"/>
          <w:sz w:val="22"/>
          <w:szCs w:val="28"/>
          <w:lang w:val="en-GB" w:eastAsia="ko-KR" w:bidi="th-TH"/>
        </w:rPr>
        <w:t>.</w:t>
      </w:r>
      <w:r w:rsidR="00922AF3">
        <w:rPr>
          <w:rFonts w:ascii="Georgia" w:hAnsi="Georgia" w:cs="Arial"/>
          <w:sz w:val="22"/>
          <w:szCs w:val="22"/>
          <w:lang w:val="en-GB"/>
        </w:rPr>
        <w:t xml:space="preserve"> </w:t>
      </w:r>
      <w:r w:rsidR="004E705A" w:rsidRPr="004E705A">
        <w:rPr>
          <w:rFonts w:ascii="Georgia" w:hAnsi="Georgia" w:cs="Arial"/>
          <w:sz w:val="22"/>
          <w:szCs w:val="22"/>
          <w:lang w:val="en-GB"/>
        </w:rPr>
        <w:t xml:space="preserve">However, it is yet unclear to what extent these two concepts of uncertainty can be applied to the transmission mechanisms in macroeconomic models. </w:t>
      </w:r>
      <w:r w:rsidR="004E705A">
        <w:rPr>
          <w:rFonts w:ascii="Georgia" w:hAnsi="Georgia" w:cs="Arial"/>
          <w:sz w:val="22"/>
          <w:szCs w:val="22"/>
          <w:lang w:val="en-GB"/>
        </w:rPr>
        <w:t>Furthermore, t</w:t>
      </w:r>
      <w:r w:rsidR="00CB0FCC" w:rsidRPr="00CB0FCC">
        <w:rPr>
          <w:rFonts w:ascii="Georgia" w:hAnsi="Georgia" w:cs="Arial"/>
          <w:sz w:val="22"/>
          <w:szCs w:val="22"/>
          <w:lang w:val="en-GB"/>
        </w:rPr>
        <w:t>here is scarce evidence on how</w:t>
      </w:r>
      <w:r w:rsidR="00CB0FCC">
        <w:rPr>
          <w:rFonts w:ascii="Georgia" w:hAnsi="Georgia" w:cs="Arial"/>
          <w:sz w:val="22"/>
          <w:szCs w:val="22"/>
          <w:lang w:val="en-GB"/>
        </w:rPr>
        <w:t xml:space="preserve"> </w:t>
      </w:r>
      <w:r w:rsidR="00CB0FCC" w:rsidRPr="00CB0FCC">
        <w:rPr>
          <w:rFonts w:ascii="Georgia" w:hAnsi="Georgia" w:cs="Arial"/>
          <w:sz w:val="22"/>
          <w:szCs w:val="22"/>
          <w:lang w:val="en-GB"/>
        </w:rPr>
        <w:t xml:space="preserve">ordinary economic agents, such as households, adjust to aggregate uncertainty or </w:t>
      </w:r>
      <w:r w:rsidR="001835E0">
        <w:rPr>
          <w:rFonts w:ascii="Georgia" w:hAnsi="Georgia" w:cs="Arial"/>
          <w:sz w:val="22"/>
          <w:szCs w:val="22"/>
          <w:lang w:val="en-GB"/>
        </w:rPr>
        <w:t>if it</w:t>
      </w:r>
      <w:r w:rsidR="00CB0FCC" w:rsidRPr="00CB0FCC">
        <w:rPr>
          <w:rFonts w:ascii="Georgia" w:hAnsi="Georgia" w:cs="Arial"/>
          <w:sz w:val="22"/>
          <w:szCs w:val="22"/>
          <w:lang w:val="en-GB"/>
        </w:rPr>
        <w:t xml:space="preserve"> aligns with </w:t>
      </w:r>
      <w:r w:rsidR="00705070" w:rsidRPr="00705070">
        <w:rPr>
          <w:rFonts w:ascii="Georgia" w:hAnsi="Georgia" w:cs="Arial"/>
          <w:sz w:val="22"/>
          <w:szCs w:val="22"/>
          <w:lang w:val="en-GB"/>
        </w:rPr>
        <w:t>decision-making theories</w:t>
      </w:r>
      <w:r w:rsidR="00705070">
        <w:rPr>
          <w:rFonts w:ascii="Georgia" w:hAnsi="Georgia" w:cs="Arial"/>
          <w:sz w:val="22"/>
          <w:szCs w:val="22"/>
          <w:lang w:val="en-GB"/>
        </w:rPr>
        <w:t xml:space="preserve"> used in macroeconomic models</w:t>
      </w:r>
      <w:r w:rsidR="00705070" w:rsidRPr="00705070">
        <w:rPr>
          <w:rFonts w:ascii="Georgia" w:hAnsi="Georgia" w:cs="Arial"/>
          <w:sz w:val="22"/>
          <w:szCs w:val="22"/>
          <w:lang w:val="en-GB"/>
        </w:rPr>
        <w:t xml:space="preserve">. </w:t>
      </w:r>
      <w:r w:rsidR="00A00DF6">
        <w:rPr>
          <w:rFonts w:ascii="Georgia" w:hAnsi="Georgia" w:cs="Arial"/>
          <w:sz w:val="22"/>
          <w:szCs w:val="22"/>
          <w:lang w:val="en-GB"/>
        </w:rPr>
        <w:t>T</w:t>
      </w:r>
      <w:r w:rsidR="00A00DF6" w:rsidRPr="00A00DF6">
        <w:rPr>
          <w:rFonts w:ascii="Georgia" w:hAnsi="Georgia" w:cs="Arial"/>
          <w:sz w:val="22"/>
          <w:szCs w:val="22"/>
          <w:lang w:val="en-GB"/>
        </w:rPr>
        <w:t>he track seeks to deepen our understanding of the relationship between theoretical concepts of uncertainty and their implications on macroeconomic models.</w:t>
      </w:r>
    </w:p>
    <w:p w14:paraId="6BE40E82" w14:textId="77777777" w:rsidR="001835E0" w:rsidRPr="009D63C3" w:rsidRDefault="001835E0" w:rsidP="0067252C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</w:p>
    <w:p w14:paraId="6B97593F" w14:textId="77777777" w:rsidR="0067252C" w:rsidRPr="00641444" w:rsidRDefault="0067252C" w:rsidP="0067252C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  <w:r>
        <w:rPr>
          <w:rFonts w:ascii="Georgia" w:hAnsi="Georgia" w:cs="Arial"/>
          <w:b/>
          <w:sz w:val="22"/>
          <w:szCs w:val="22"/>
          <w:lang w:val="en-GB"/>
        </w:rPr>
        <w:t>Examples of relevant research questions</w:t>
      </w:r>
      <w:r w:rsidRPr="00641444">
        <w:rPr>
          <w:rFonts w:ascii="Georgia" w:hAnsi="Georgia" w:cs="Arial"/>
          <w:b/>
          <w:sz w:val="22"/>
          <w:szCs w:val="22"/>
          <w:lang w:val="en-GB"/>
        </w:rPr>
        <w:t xml:space="preserve"> </w:t>
      </w:r>
    </w:p>
    <w:p w14:paraId="2847BA1A" w14:textId="77777777" w:rsidR="0067252C" w:rsidRPr="00641444" w:rsidRDefault="0067252C" w:rsidP="0067252C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</w:p>
    <w:p w14:paraId="5F6BC02D" w14:textId="68DB63E0" w:rsidR="001835E0" w:rsidRPr="001835E0" w:rsidRDefault="000D2E2E" w:rsidP="001835E0">
      <w:pPr>
        <w:pStyle w:val="Default"/>
        <w:numPr>
          <w:ilvl w:val="0"/>
          <w:numId w:val="1"/>
        </w:numPr>
        <w:jc w:val="both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>M</w:t>
      </w:r>
      <w:r w:rsidR="001835E0">
        <w:rPr>
          <w:rFonts w:ascii="Georgia" w:hAnsi="Georgia" w:cs="Arial"/>
          <w:sz w:val="22"/>
          <w:szCs w:val="22"/>
          <w:lang w:val="en-GB"/>
        </w:rPr>
        <w:t>easurement of ambiguity</w:t>
      </w:r>
      <w:r w:rsidR="00514D68">
        <w:rPr>
          <w:rFonts w:ascii="Georgia" w:hAnsi="Georgia" w:cs="Arial"/>
          <w:sz w:val="22"/>
          <w:szCs w:val="22"/>
          <w:lang w:val="en-GB"/>
        </w:rPr>
        <w:t xml:space="preserve"> and risk</w:t>
      </w:r>
      <w:r w:rsidR="001835E0">
        <w:rPr>
          <w:rFonts w:ascii="Georgia" w:hAnsi="Georgia" w:cs="Arial"/>
          <w:sz w:val="22"/>
          <w:szCs w:val="22"/>
          <w:lang w:val="en-GB"/>
        </w:rPr>
        <w:t xml:space="preserve"> using macroeconomic data</w:t>
      </w:r>
    </w:p>
    <w:p w14:paraId="4760A651" w14:textId="03E425DD" w:rsidR="00401133" w:rsidRDefault="000D2E2E" w:rsidP="0067252C">
      <w:pPr>
        <w:pStyle w:val="Default"/>
        <w:numPr>
          <w:ilvl w:val="0"/>
          <w:numId w:val="1"/>
        </w:numPr>
        <w:jc w:val="both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>D</w:t>
      </w:r>
      <w:r w:rsidR="00401133">
        <w:rPr>
          <w:rFonts w:ascii="Georgia" w:hAnsi="Georgia" w:cs="Arial"/>
          <w:sz w:val="22"/>
          <w:szCs w:val="22"/>
          <w:lang w:val="en-GB"/>
        </w:rPr>
        <w:t xml:space="preserve">ifferent effects of ambiguity </w:t>
      </w:r>
      <w:r w:rsidR="00514D68">
        <w:rPr>
          <w:rFonts w:ascii="Georgia" w:hAnsi="Georgia" w:cs="Arial"/>
          <w:sz w:val="22"/>
          <w:szCs w:val="22"/>
          <w:lang w:val="en-GB"/>
        </w:rPr>
        <w:t xml:space="preserve">and risk </w:t>
      </w:r>
      <w:r w:rsidR="00401133">
        <w:rPr>
          <w:rFonts w:ascii="Georgia" w:hAnsi="Georgia" w:cs="Arial"/>
          <w:sz w:val="22"/>
          <w:szCs w:val="22"/>
          <w:lang w:val="en-GB"/>
        </w:rPr>
        <w:t>on</w:t>
      </w:r>
      <w:r w:rsidR="00705070">
        <w:rPr>
          <w:rFonts w:ascii="Georgia" w:hAnsi="Georgia" w:cs="Arial"/>
          <w:sz w:val="22"/>
          <w:szCs w:val="22"/>
          <w:lang w:val="en-GB"/>
        </w:rPr>
        <w:t xml:space="preserve"> </w:t>
      </w:r>
      <w:r w:rsidR="001835E0">
        <w:rPr>
          <w:rFonts w:ascii="Georgia" w:hAnsi="Georgia" w:cs="Arial"/>
          <w:sz w:val="22"/>
          <w:szCs w:val="22"/>
          <w:lang w:val="en-GB"/>
        </w:rPr>
        <w:t xml:space="preserve">the </w:t>
      </w:r>
      <w:r w:rsidR="00401133">
        <w:rPr>
          <w:rFonts w:ascii="Georgia" w:hAnsi="Georgia" w:cs="Arial"/>
          <w:sz w:val="22"/>
          <w:szCs w:val="22"/>
          <w:lang w:val="en-GB"/>
        </w:rPr>
        <w:t>economy</w:t>
      </w:r>
    </w:p>
    <w:p w14:paraId="3EF863DC" w14:textId="663CEA56" w:rsidR="00401133" w:rsidRDefault="000D2E2E" w:rsidP="0067252C">
      <w:pPr>
        <w:pStyle w:val="Default"/>
        <w:numPr>
          <w:ilvl w:val="0"/>
          <w:numId w:val="1"/>
        </w:numPr>
        <w:jc w:val="both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>T</w:t>
      </w:r>
      <w:r w:rsidR="00401133">
        <w:rPr>
          <w:rFonts w:ascii="Georgia" w:hAnsi="Georgia" w:cs="Arial"/>
          <w:sz w:val="22"/>
          <w:szCs w:val="22"/>
          <w:lang w:val="en-GB"/>
        </w:rPr>
        <w:t>ransmission mechanism</w:t>
      </w:r>
      <w:r w:rsidR="00B553B4">
        <w:rPr>
          <w:rFonts w:ascii="Georgia" w:hAnsi="Georgia" w:cs="Arial"/>
          <w:sz w:val="22"/>
          <w:szCs w:val="22"/>
          <w:lang w:val="en-GB"/>
        </w:rPr>
        <w:t>s</w:t>
      </w:r>
      <w:r w:rsidR="00401133">
        <w:rPr>
          <w:rFonts w:ascii="Georgia" w:hAnsi="Georgia" w:cs="Arial"/>
          <w:sz w:val="22"/>
          <w:szCs w:val="22"/>
          <w:lang w:val="en-GB"/>
        </w:rPr>
        <w:t xml:space="preserve"> of uncertainty observe</w:t>
      </w:r>
      <w:r w:rsidR="00ED6EE5">
        <w:rPr>
          <w:rFonts w:ascii="Georgia" w:hAnsi="Georgia" w:cs="Arial"/>
          <w:sz w:val="22"/>
          <w:szCs w:val="22"/>
          <w:lang w:val="en-GB"/>
        </w:rPr>
        <w:t>d</w:t>
      </w:r>
      <w:r w:rsidR="00401133">
        <w:rPr>
          <w:rFonts w:ascii="Georgia" w:hAnsi="Georgia" w:cs="Arial"/>
          <w:sz w:val="22"/>
          <w:szCs w:val="22"/>
          <w:lang w:val="en-GB"/>
        </w:rPr>
        <w:t xml:space="preserve"> in empirical </w:t>
      </w:r>
      <w:proofErr w:type="gramStart"/>
      <w:r w:rsidR="00A33F60">
        <w:rPr>
          <w:rFonts w:ascii="Georgia" w:hAnsi="Georgia" w:cs="Arial"/>
          <w:sz w:val="22"/>
          <w:szCs w:val="22"/>
          <w:lang w:val="en-GB"/>
        </w:rPr>
        <w:t>macro</w:t>
      </w:r>
      <w:proofErr w:type="gramEnd"/>
    </w:p>
    <w:p w14:paraId="0026840E" w14:textId="6EA234D2" w:rsidR="00C93AB9" w:rsidRDefault="000D2E2E" w:rsidP="0067252C">
      <w:pPr>
        <w:pStyle w:val="Default"/>
        <w:numPr>
          <w:ilvl w:val="0"/>
          <w:numId w:val="1"/>
        </w:numPr>
        <w:jc w:val="both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>Relationship between</w:t>
      </w:r>
      <w:r w:rsidR="00C93AB9">
        <w:rPr>
          <w:rFonts w:ascii="Georgia" w:hAnsi="Georgia" w:cs="Arial"/>
          <w:sz w:val="22"/>
          <w:szCs w:val="22"/>
          <w:lang w:val="en-GB"/>
        </w:rPr>
        <w:t xml:space="preserve"> aggregate uncertainty </w:t>
      </w:r>
      <w:r>
        <w:rPr>
          <w:rFonts w:ascii="Georgia" w:hAnsi="Georgia" w:cs="Arial"/>
          <w:sz w:val="22"/>
          <w:szCs w:val="22"/>
          <w:lang w:val="en-GB"/>
        </w:rPr>
        <w:t>and</w:t>
      </w:r>
      <w:r w:rsidR="00C93AB9">
        <w:rPr>
          <w:rFonts w:ascii="Georgia" w:hAnsi="Georgia" w:cs="Arial"/>
          <w:sz w:val="22"/>
          <w:szCs w:val="22"/>
          <w:lang w:val="en-GB"/>
        </w:rPr>
        <w:t xml:space="preserve"> individual </w:t>
      </w:r>
      <w:r>
        <w:rPr>
          <w:rFonts w:ascii="Georgia" w:hAnsi="Georgia" w:cs="Arial"/>
          <w:sz w:val="22"/>
          <w:szCs w:val="22"/>
          <w:lang w:val="en-GB"/>
        </w:rPr>
        <w:t>expectations</w:t>
      </w:r>
      <w:r w:rsidR="00A00DF6">
        <w:rPr>
          <w:rFonts w:ascii="Georgia" w:hAnsi="Georgia" w:cs="Arial"/>
          <w:sz w:val="22"/>
          <w:szCs w:val="22"/>
          <w:lang w:val="en-GB"/>
        </w:rPr>
        <w:t xml:space="preserve"> or decisions</w:t>
      </w:r>
    </w:p>
    <w:p w14:paraId="29C669F4" w14:textId="637C7929" w:rsidR="000D2E2E" w:rsidRDefault="00A33F60" w:rsidP="0067252C">
      <w:pPr>
        <w:pStyle w:val="Default"/>
        <w:numPr>
          <w:ilvl w:val="0"/>
          <w:numId w:val="1"/>
        </w:numPr>
        <w:jc w:val="both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>National scale e</w:t>
      </w:r>
      <w:r w:rsidR="00514D68">
        <w:rPr>
          <w:rFonts w:ascii="Georgia" w:hAnsi="Georgia" w:cs="Arial"/>
          <w:sz w:val="22"/>
          <w:szCs w:val="22"/>
          <w:lang w:val="en-GB"/>
        </w:rPr>
        <w:t>mpirical studies of preferences over ambiguity and risk</w:t>
      </w:r>
    </w:p>
    <w:p w14:paraId="5D42005D" w14:textId="77777777" w:rsidR="001835E0" w:rsidRDefault="001835E0" w:rsidP="001835E0">
      <w:pPr>
        <w:pStyle w:val="Default"/>
        <w:ind w:left="720"/>
        <w:jc w:val="both"/>
        <w:rPr>
          <w:rFonts w:ascii="Georgia" w:hAnsi="Georgia" w:cs="Arial"/>
          <w:sz w:val="22"/>
          <w:szCs w:val="22"/>
          <w:lang w:val="en-GB"/>
        </w:rPr>
      </w:pPr>
    </w:p>
    <w:p w14:paraId="3E50651A" w14:textId="0D4348B3" w:rsidR="00401133" w:rsidRPr="00401133" w:rsidRDefault="00401133" w:rsidP="00401133">
      <w:pPr>
        <w:pStyle w:val="Default"/>
        <w:ind w:left="720"/>
        <w:jc w:val="both"/>
        <w:rPr>
          <w:rFonts w:ascii="Georgia" w:hAnsi="Georgia" w:cstheme="minorBidi"/>
          <w:sz w:val="22"/>
          <w:szCs w:val="28"/>
          <w:cs/>
          <w:lang w:val="en-GB" w:bidi="th-TH"/>
        </w:rPr>
      </w:pPr>
    </w:p>
    <w:p w14:paraId="19BD32C1" w14:textId="77777777" w:rsidR="0067252C" w:rsidRDefault="0067252C" w:rsidP="0067252C">
      <w:pPr>
        <w:rPr>
          <w:rFonts w:ascii="Georgia" w:hAnsi="Georgia" w:cs="Arial"/>
          <w:b/>
          <w:lang w:val="en-GB"/>
        </w:rPr>
      </w:pPr>
    </w:p>
    <w:p w14:paraId="18C8E117" w14:textId="5B829E9A" w:rsidR="001835E0" w:rsidRDefault="0067252C" w:rsidP="001835E0">
      <w:pPr>
        <w:rPr>
          <w:rFonts w:ascii="Georgia" w:hAnsi="Georgia" w:cs="Arial"/>
          <w:b/>
          <w:lang w:val="en-GB"/>
        </w:rPr>
      </w:pPr>
      <w:r w:rsidRPr="00570415">
        <w:rPr>
          <w:rFonts w:ascii="Georgia" w:hAnsi="Georgia" w:cs="Arial"/>
          <w:b/>
          <w:lang w:val="en-GB"/>
        </w:rPr>
        <w:t>References</w:t>
      </w:r>
      <w:r>
        <w:rPr>
          <w:rFonts w:ascii="Georgia" w:hAnsi="Georgia" w:cs="Arial"/>
          <w:b/>
          <w:lang w:val="en-GB"/>
        </w:rPr>
        <w:t>:</w:t>
      </w:r>
    </w:p>
    <w:p w14:paraId="15E30F90" w14:textId="74C689D1" w:rsidR="00B553B4" w:rsidRPr="00A33F60" w:rsidRDefault="00B13371" w:rsidP="008329D7">
      <w:pPr>
        <w:pStyle w:val="ListParagraph"/>
        <w:numPr>
          <w:ilvl w:val="0"/>
          <w:numId w:val="3"/>
        </w:numPr>
        <w:adjustRightInd w:val="0"/>
        <w:spacing w:line="276" w:lineRule="auto"/>
        <w:contextualSpacing w:val="0"/>
        <w:rPr>
          <w:rStyle w:val="Title1"/>
          <w:bdr w:val="none" w:sz="0" w:space="0" w:color="auto" w:frame="1"/>
          <w:shd w:val="clear" w:color="auto" w:fill="FFFFFF"/>
        </w:rPr>
      </w:pPr>
      <w:r w:rsidRPr="00B13371"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 xml:space="preserve">Altig, </w:t>
      </w:r>
      <w:r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 xml:space="preserve">D., </w:t>
      </w:r>
      <w:r w:rsidRPr="00B13371"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>Maria Barrero</w:t>
      </w:r>
      <w:r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>, J.</w:t>
      </w:r>
      <w:r w:rsidRPr="00B13371"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 xml:space="preserve">, Bloom, </w:t>
      </w:r>
      <w:r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 xml:space="preserve">N., </w:t>
      </w:r>
      <w:r w:rsidRPr="00B13371"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>Davis</w:t>
      </w:r>
      <w:r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>, S. J.</w:t>
      </w:r>
      <w:r w:rsidRPr="00B13371"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>, Meyer</w:t>
      </w:r>
      <w:r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>, B., &amp;</w:t>
      </w:r>
      <w:r w:rsidRPr="00B13371"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 xml:space="preserve"> Parker</w:t>
      </w:r>
      <w:r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>, N.</w:t>
      </w:r>
      <w:r w:rsidR="008D6CD0"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 xml:space="preserve"> 2022</w:t>
      </w:r>
      <w:r w:rsidRPr="00B13371"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>,</w:t>
      </w:r>
      <w:r w:rsidRPr="00B13371"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 xml:space="preserve"> </w:t>
      </w:r>
      <w:r w:rsidRPr="00B13371"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>Surveying business uncertainty,</w:t>
      </w:r>
      <w:r w:rsidRPr="00B13371"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 xml:space="preserve"> </w:t>
      </w:r>
      <w:r w:rsidRPr="00B13371">
        <w:rPr>
          <w:rStyle w:val="Title1"/>
          <w:rFonts w:ascii="Georgia" w:hAnsi="Georgia"/>
          <w:i/>
          <w:iCs/>
          <w:sz w:val="18"/>
          <w:szCs w:val="18"/>
          <w:bdr w:val="none" w:sz="0" w:space="0" w:color="auto" w:frame="1"/>
        </w:rPr>
        <w:t>Journal of Econometrics</w:t>
      </w:r>
      <w:r w:rsidRPr="00B13371"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>,</w:t>
      </w:r>
      <w:r w:rsidRPr="00B13371"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 xml:space="preserve"> </w:t>
      </w:r>
      <w:r w:rsidRPr="00B13371"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>231</w:t>
      </w:r>
      <w:r w:rsidR="008D6CD0"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>(</w:t>
      </w:r>
      <w:r w:rsidRPr="00B13371"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>1</w:t>
      </w:r>
      <w:r w:rsidR="008D6CD0"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>)</w:t>
      </w:r>
      <w:r w:rsidRPr="00B13371"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>,</w:t>
      </w:r>
      <w:r w:rsidRPr="00B13371"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 xml:space="preserve"> </w:t>
      </w:r>
      <w:r w:rsidRPr="00B13371"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>282-303,</w:t>
      </w:r>
      <w:r w:rsidRPr="00B13371"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 xml:space="preserve"> </w:t>
      </w:r>
      <w:hyperlink r:id="rId8" w:history="1">
        <w:r w:rsidRPr="00667202">
          <w:rPr>
            <w:rStyle w:val="Hyperlink"/>
            <w:rFonts w:ascii="Georgia" w:hAnsi="Georgia"/>
            <w:sz w:val="18"/>
            <w:szCs w:val="18"/>
            <w:bdr w:val="none" w:sz="0" w:space="0" w:color="auto" w:frame="1"/>
          </w:rPr>
          <w:t>h</w:t>
        </w:r>
        <w:r w:rsidRPr="00667202">
          <w:rPr>
            <w:rStyle w:val="Hyperlink"/>
            <w:rFonts w:ascii="Georgia" w:hAnsi="Georgia"/>
            <w:sz w:val="18"/>
            <w:szCs w:val="18"/>
            <w:bdr w:val="none" w:sz="0" w:space="0" w:color="auto" w:frame="1"/>
          </w:rPr>
          <w:t>ttps://doi.org/10.1016/j.jeconom.2020.03.021</w:t>
        </w:r>
      </w:hyperlink>
      <w:r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 xml:space="preserve"> </w:t>
      </w:r>
      <w:r w:rsidRPr="00B13371">
        <w:rPr>
          <w:rStyle w:val="Title1"/>
          <w:rFonts w:ascii="Georgia" w:hAnsi="Georgia"/>
          <w:sz w:val="18"/>
          <w:szCs w:val="18"/>
          <w:bdr w:val="none" w:sz="0" w:space="0" w:color="auto" w:frame="1"/>
        </w:rPr>
        <w:t xml:space="preserve"> </w:t>
      </w:r>
    </w:p>
    <w:p w14:paraId="7FA206CA" w14:textId="2B23BCCD" w:rsidR="00A33F60" w:rsidRPr="00A33F60" w:rsidRDefault="00A33F60" w:rsidP="008329D7">
      <w:pPr>
        <w:pStyle w:val="ListParagraph"/>
        <w:numPr>
          <w:ilvl w:val="0"/>
          <w:numId w:val="3"/>
        </w:numPr>
        <w:adjustRightInd w:val="0"/>
        <w:spacing w:line="276" w:lineRule="auto"/>
        <w:contextualSpacing w:val="0"/>
        <w:rPr>
          <w:rStyle w:val="Title1"/>
          <w:rFonts w:ascii="Georgia" w:hAnsi="Georgia"/>
          <w:sz w:val="18"/>
          <w:szCs w:val="18"/>
          <w:bdr w:val="none" w:sz="0" w:space="0" w:color="auto" w:frame="1"/>
          <w:shd w:val="clear" w:color="auto" w:fill="FFFFFF"/>
        </w:rPr>
      </w:pPr>
      <w:r w:rsidRPr="00A33F60">
        <w:rPr>
          <w:rStyle w:val="Title1"/>
          <w:rFonts w:ascii="Georgia" w:hAnsi="Georgia"/>
          <w:sz w:val="18"/>
          <w:szCs w:val="18"/>
          <w:bdr w:val="none" w:sz="0" w:space="0" w:color="auto" w:frame="1"/>
          <w:shd w:val="clear" w:color="auto" w:fill="FFFFFF"/>
        </w:rPr>
        <w:t xml:space="preserve">Bianchi, F, H Kung and M Tirskikh (eds) (2019), “DP13450 The Origins and Effects of Macroeconomic Uncertainty”, </w:t>
      </w:r>
      <w:r w:rsidRPr="00A33F60">
        <w:rPr>
          <w:rStyle w:val="Title1"/>
          <w:rFonts w:ascii="Georgia" w:hAnsi="Georgia"/>
          <w:i/>
          <w:iCs/>
          <w:sz w:val="18"/>
          <w:szCs w:val="18"/>
          <w:bdr w:val="none" w:sz="0" w:space="0" w:color="auto" w:frame="1"/>
          <w:shd w:val="clear" w:color="auto" w:fill="FFFFFF"/>
        </w:rPr>
        <w:t>CEPR Press Discussion Paper</w:t>
      </w:r>
      <w:r w:rsidRPr="00A33F60">
        <w:rPr>
          <w:rStyle w:val="Title1"/>
          <w:rFonts w:ascii="Georgia" w:hAnsi="Georgia"/>
          <w:sz w:val="18"/>
          <w:szCs w:val="18"/>
          <w:bdr w:val="none" w:sz="0" w:space="0" w:color="auto" w:frame="1"/>
          <w:shd w:val="clear" w:color="auto" w:fill="FFFFFF"/>
        </w:rPr>
        <w:t xml:space="preserve"> No. 13450.</w:t>
      </w:r>
      <w:r>
        <w:rPr>
          <w:rStyle w:val="Title1"/>
          <w:rFonts w:ascii="Georgia" w:hAnsi="Georgia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A33F60">
        <w:rPr>
          <w:rFonts w:ascii="Georgia" w:hAnsi="Georgia"/>
          <w:sz w:val="18"/>
          <w:szCs w:val="18"/>
        </w:rPr>
        <w:fldChar w:fldCharType="begin"/>
      </w:r>
      <w:r w:rsidRPr="00A33F60">
        <w:rPr>
          <w:rFonts w:ascii="Georgia" w:hAnsi="Georgia"/>
          <w:sz w:val="18"/>
          <w:szCs w:val="18"/>
        </w:rPr>
        <w:instrText xml:space="preserve"> HYPERLINK "https://cepr.org/publications/dp13450" </w:instrText>
      </w:r>
      <w:r w:rsidRPr="00A33F60">
        <w:rPr>
          <w:rFonts w:ascii="Georgia" w:hAnsi="Georgia"/>
          <w:sz w:val="18"/>
          <w:szCs w:val="18"/>
        </w:rPr>
        <w:fldChar w:fldCharType="separate"/>
      </w:r>
      <w:r w:rsidRPr="00A33F60">
        <w:rPr>
          <w:rStyle w:val="Hyperlink"/>
          <w:rFonts w:ascii="Georgia" w:hAnsi="Georgia" w:cs="Arial"/>
          <w:sz w:val="18"/>
          <w:szCs w:val="18"/>
          <w:bdr w:val="none" w:sz="0" w:space="0" w:color="auto" w:frame="1"/>
        </w:rPr>
        <w:t>https://cepr.org/publications/dp13450</w:t>
      </w:r>
      <w:r w:rsidRPr="00A33F60">
        <w:rPr>
          <w:rFonts w:ascii="Georgia" w:hAnsi="Georgia"/>
          <w:sz w:val="18"/>
          <w:szCs w:val="18"/>
        </w:rPr>
        <w:fldChar w:fldCharType="end"/>
      </w:r>
    </w:p>
    <w:p w14:paraId="7FE59DF5" w14:textId="7A011081" w:rsidR="00042691" w:rsidRPr="000D2E2E" w:rsidRDefault="00042691" w:rsidP="00FF1F7E">
      <w:pPr>
        <w:pStyle w:val="ListParagraph"/>
        <w:numPr>
          <w:ilvl w:val="0"/>
          <w:numId w:val="3"/>
        </w:numPr>
        <w:adjustRightInd w:val="0"/>
        <w:spacing w:line="276" w:lineRule="auto"/>
        <w:ind w:left="357" w:hanging="357"/>
        <w:contextualSpacing w:val="0"/>
        <w:rPr>
          <w:rFonts w:ascii="Georgia" w:hAnsi="Georgia" w:cs="Arial"/>
          <w:color w:val="000000"/>
          <w:sz w:val="18"/>
          <w:szCs w:val="18"/>
        </w:rPr>
      </w:pPr>
      <w:r w:rsidRPr="000D2E2E">
        <w:rPr>
          <w:rFonts w:ascii="Georgia" w:hAnsi="Georgia" w:cs="Arial"/>
          <w:color w:val="000000"/>
          <w:sz w:val="18"/>
          <w:szCs w:val="18"/>
          <w:lang w:val="en-GB"/>
        </w:rPr>
        <w:t xml:space="preserve">Bloom, N. (2014). </w:t>
      </w:r>
      <w:r w:rsidRPr="000D2E2E">
        <w:rPr>
          <w:rStyle w:val="Title1"/>
          <w:rFonts w:ascii="Georgia" w:hAnsi="Georgia"/>
          <w:sz w:val="18"/>
          <w:szCs w:val="18"/>
          <w:bdr w:val="none" w:sz="0" w:space="0" w:color="auto" w:frame="1"/>
          <w:shd w:val="clear" w:color="auto" w:fill="FFFFFF"/>
        </w:rPr>
        <w:t xml:space="preserve">Fluctuations in Uncertainty. </w:t>
      </w:r>
      <w:r w:rsidRPr="000D2E2E">
        <w:rPr>
          <w:rStyle w:val="journal"/>
          <w:rFonts w:ascii="Georgia" w:hAnsi="Georgia"/>
          <w:i/>
          <w:iCs/>
          <w:sz w:val="18"/>
          <w:szCs w:val="18"/>
          <w:bdr w:val="none" w:sz="0" w:space="0" w:color="auto" w:frame="1"/>
          <w:shd w:val="clear" w:color="auto" w:fill="FFFFFF"/>
        </w:rPr>
        <w:t>Journal of Economic Perspectives</w:t>
      </w:r>
      <w:r w:rsidRPr="000D2E2E">
        <w:rPr>
          <w:rFonts w:ascii="Georgia" w:hAnsi="Georgia"/>
          <w:sz w:val="18"/>
          <w:szCs w:val="18"/>
          <w:shd w:val="clear" w:color="auto" w:fill="FFFFFF"/>
        </w:rPr>
        <w:t>, </w:t>
      </w:r>
      <w:r w:rsidRPr="000D2E2E">
        <w:rPr>
          <w:rStyle w:val="vol"/>
          <w:rFonts w:ascii="Georgia" w:hAnsi="Georgia"/>
          <w:sz w:val="18"/>
          <w:szCs w:val="18"/>
          <w:bdr w:val="none" w:sz="0" w:space="0" w:color="auto" w:frame="1"/>
          <w:shd w:val="clear" w:color="auto" w:fill="FFFFFF"/>
        </w:rPr>
        <w:t>28 (2): 153-76</w:t>
      </w:r>
      <w:r w:rsidRPr="000D2E2E">
        <w:rPr>
          <w:rStyle w:val="pages"/>
          <w:rFonts w:ascii="Georgia" w:hAnsi="Georgia"/>
          <w:sz w:val="18"/>
          <w:szCs w:val="18"/>
          <w:bdr w:val="none" w:sz="0" w:space="0" w:color="auto" w:frame="1"/>
          <w:shd w:val="clear" w:color="auto" w:fill="FFFFFF"/>
        </w:rPr>
        <w:t>.</w:t>
      </w:r>
      <w:r w:rsidRPr="000D2E2E">
        <w:rPr>
          <w:rStyle w:val="pages"/>
          <w:rFonts w:ascii="Georgia" w:hAnsi="Georgia"/>
          <w:color w:val="353C3F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000000">
        <w:fldChar w:fldCharType="begin"/>
      </w:r>
      <w:r w:rsidR="00000000">
        <w:instrText>HYPERLINK "https://www-aeaweb-org.mu.idm.oclc.org/articles?id=10.1257/jep.28.2.153"</w:instrText>
      </w:r>
      <w:r w:rsidR="00000000">
        <w:fldChar w:fldCharType="separate"/>
      </w:r>
      <w:r w:rsidRPr="000D2E2E">
        <w:rPr>
          <w:rStyle w:val="Hyperlink"/>
          <w:rFonts w:ascii="Georgia" w:hAnsi="Georgia"/>
          <w:sz w:val="18"/>
          <w:szCs w:val="18"/>
          <w:bdr w:val="none" w:sz="0" w:space="0" w:color="auto" w:frame="1"/>
          <w:shd w:val="clear" w:color="auto" w:fill="FFFFFF"/>
        </w:rPr>
        <w:t>https://www-aeaweb-org.mu.idm.oclc.org/articles?id=10.1257/jep.28.2.153</w:t>
      </w:r>
      <w:r w:rsidR="00000000">
        <w:rPr>
          <w:rStyle w:val="Hyperlink"/>
          <w:rFonts w:ascii="Georgia" w:hAnsi="Georgia"/>
          <w:sz w:val="18"/>
          <w:szCs w:val="18"/>
          <w:bdr w:val="none" w:sz="0" w:space="0" w:color="auto" w:frame="1"/>
          <w:shd w:val="clear" w:color="auto" w:fill="FFFFFF"/>
        </w:rPr>
        <w:fldChar w:fldCharType="end"/>
      </w:r>
      <w:r w:rsidRPr="000D2E2E">
        <w:rPr>
          <w:rStyle w:val="pages"/>
          <w:rFonts w:ascii="Georgia" w:hAnsi="Georgia"/>
          <w:color w:val="353C3F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</w:p>
    <w:p w14:paraId="63C3AB8D" w14:textId="44296612" w:rsidR="001835E0" w:rsidRDefault="001835E0" w:rsidP="00FF1F7E">
      <w:pPr>
        <w:pStyle w:val="ListParagraph"/>
        <w:numPr>
          <w:ilvl w:val="0"/>
          <w:numId w:val="3"/>
        </w:numPr>
        <w:adjustRightInd w:val="0"/>
        <w:spacing w:line="276" w:lineRule="auto"/>
        <w:ind w:left="357" w:hanging="357"/>
        <w:contextualSpacing w:val="0"/>
        <w:rPr>
          <w:rFonts w:ascii="Georgia" w:hAnsi="Georgia" w:cs="Arial"/>
          <w:color w:val="000000"/>
          <w:sz w:val="18"/>
          <w:szCs w:val="18"/>
          <w:lang w:val="en-GB"/>
        </w:rPr>
      </w:pPr>
      <w:r w:rsidRPr="00296237">
        <w:rPr>
          <w:rFonts w:ascii="Georgia" w:hAnsi="Georgia" w:cs="Arial"/>
          <w:color w:val="000000"/>
          <w:sz w:val="18"/>
          <w:szCs w:val="18"/>
          <w:lang w:val="nl-NL"/>
        </w:rPr>
        <w:t>Cosmin L. I</w:t>
      </w:r>
      <w:r w:rsidR="00FF1F7E" w:rsidRPr="00296237">
        <w:rPr>
          <w:rFonts w:ascii="Georgia" w:hAnsi="Georgia" w:cs="Arial"/>
          <w:color w:val="000000"/>
          <w:sz w:val="18"/>
          <w:szCs w:val="18"/>
          <w:lang w:val="nl-NL"/>
        </w:rPr>
        <w:t>.</w:t>
      </w:r>
      <w:r w:rsidRPr="00296237">
        <w:rPr>
          <w:rFonts w:ascii="Georgia" w:hAnsi="Georgia" w:cs="Arial"/>
          <w:color w:val="000000"/>
          <w:sz w:val="18"/>
          <w:szCs w:val="18"/>
          <w:lang w:val="nl-NL"/>
        </w:rPr>
        <w:t xml:space="preserve"> &amp; Schneider</w:t>
      </w:r>
      <w:r w:rsidR="00FF1F7E" w:rsidRPr="00296237">
        <w:rPr>
          <w:rFonts w:ascii="Georgia" w:hAnsi="Georgia" w:cs="Arial"/>
          <w:color w:val="000000"/>
          <w:sz w:val="18"/>
          <w:szCs w:val="18"/>
          <w:lang w:val="nl-NL"/>
        </w:rPr>
        <w:t>, M.</w:t>
      </w:r>
      <w:r w:rsidRPr="00296237">
        <w:rPr>
          <w:rFonts w:ascii="Georgia" w:hAnsi="Georgia" w:cs="Arial"/>
          <w:color w:val="000000"/>
          <w:sz w:val="18"/>
          <w:szCs w:val="18"/>
          <w:lang w:val="nl-NL"/>
        </w:rPr>
        <w:t xml:space="preserve"> (2022). </w:t>
      </w:r>
      <w:proofErr w:type="spellStart"/>
      <w:r w:rsidRPr="000D2E2E">
        <w:rPr>
          <w:rFonts w:ascii="Georgia" w:hAnsi="Georgia" w:cs="Arial"/>
          <w:color w:val="000000"/>
          <w:sz w:val="18"/>
          <w:szCs w:val="18"/>
          <w:lang w:val="en-GB"/>
        </w:rPr>
        <w:t>Modeling</w:t>
      </w:r>
      <w:proofErr w:type="spellEnd"/>
      <w:r w:rsidRPr="000D2E2E">
        <w:rPr>
          <w:rFonts w:ascii="Georgia" w:hAnsi="Georgia" w:cs="Arial"/>
          <w:color w:val="000000"/>
          <w:sz w:val="18"/>
          <w:szCs w:val="18"/>
          <w:lang w:val="en-GB"/>
        </w:rPr>
        <w:t xml:space="preserve"> Uncertainty as Ambiguity: </w:t>
      </w:r>
      <w:proofErr w:type="gramStart"/>
      <w:r w:rsidRPr="000D2E2E">
        <w:rPr>
          <w:rFonts w:ascii="Georgia" w:hAnsi="Georgia" w:cs="Arial"/>
          <w:color w:val="000000"/>
          <w:sz w:val="18"/>
          <w:szCs w:val="18"/>
          <w:lang w:val="en-GB"/>
        </w:rPr>
        <w:t>a</w:t>
      </w:r>
      <w:proofErr w:type="gramEnd"/>
      <w:r w:rsidRPr="000D2E2E">
        <w:rPr>
          <w:rFonts w:ascii="Georgia" w:hAnsi="Georgia" w:cs="Arial"/>
          <w:color w:val="000000"/>
          <w:sz w:val="18"/>
          <w:szCs w:val="18"/>
          <w:lang w:val="en-GB"/>
        </w:rPr>
        <w:t xml:space="preserve"> Review</w:t>
      </w:r>
      <w:r w:rsidR="00042691" w:rsidRPr="000D2E2E">
        <w:rPr>
          <w:rFonts w:ascii="Georgia" w:hAnsi="Georgia" w:cs="Arial"/>
          <w:color w:val="000000"/>
          <w:sz w:val="18"/>
          <w:szCs w:val="18"/>
          <w:lang w:val="en-GB"/>
        </w:rPr>
        <w:t>.</w:t>
      </w:r>
      <w:r w:rsidRPr="000D2E2E">
        <w:rPr>
          <w:rFonts w:ascii="Georgia" w:hAnsi="Georgia" w:cs="Arial"/>
          <w:color w:val="000000"/>
          <w:sz w:val="18"/>
          <w:szCs w:val="18"/>
          <w:lang w:val="en-GB"/>
        </w:rPr>
        <w:t xml:space="preserve"> </w:t>
      </w:r>
      <w:r w:rsidRPr="000D2E2E">
        <w:rPr>
          <w:rFonts w:ascii="Georgia" w:hAnsi="Georgia" w:cs="Arial"/>
          <w:i/>
          <w:iCs/>
          <w:color w:val="000000"/>
          <w:sz w:val="18"/>
          <w:szCs w:val="18"/>
          <w:lang w:val="en-GB"/>
        </w:rPr>
        <w:t>NBER Working Papers 29915</w:t>
      </w:r>
      <w:r w:rsidRPr="000D2E2E">
        <w:rPr>
          <w:rFonts w:ascii="Georgia" w:hAnsi="Georgia" w:cs="Arial"/>
          <w:color w:val="000000"/>
          <w:sz w:val="18"/>
          <w:szCs w:val="18"/>
          <w:lang w:val="en-GB"/>
        </w:rPr>
        <w:t>, National Bureau of Economic Research.</w:t>
      </w:r>
      <w:r w:rsidR="00042691" w:rsidRPr="000D2E2E">
        <w:rPr>
          <w:rFonts w:ascii="Georgia" w:hAnsi="Georgia" w:cs="Arial"/>
          <w:color w:val="000000"/>
          <w:sz w:val="18"/>
          <w:szCs w:val="18"/>
          <w:lang w:val="en-GB"/>
        </w:rPr>
        <w:t xml:space="preserve"> </w:t>
      </w:r>
      <w:hyperlink r:id="rId9" w:history="1">
        <w:r w:rsidR="00042691" w:rsidRPr="000D2E2E">
          <w:rPr>
            <w:rStyle w:val="Hyperlink"/>
            <w:rFonts w:ascii="Georgia" w:hAnsi="Georgia" w:cs="Arial"/>
            <w:sz w:val="18"/>
            <w:szCs w:val="18"/>
            <w:lang w:val="en-GB"/>
          </w:rPr>
          <w:t>https://ideas.repec.org/p/nbr/nberwo/29915.html</w:t>
        </w:r>
      </w:hyperlink>
      <w:r w:rsidR="00042691" w:rsidRPr="000D2E2E">
        <w:rPr>
          <w:rFonts w:ascii="Georgia" w:hAnsi="Georgia" w:cs="Arial"/>
          <w:color w:val="000000"/>
          <w:sz w:val="18"/>
          <w:szCs w:val="18"/>
          <w:lang w:val="en-GB"/>
        </w:rPr>
        <w:t xml:space="preserve"> </w:t>
      </w:r>
    </w:p>
    <w:p w14:paraId="033D9968" w14:textId="40D386E8" w:rsidR="00A00DF6" w:rsidRPr="00A00DF6" w:rsidRDefault="00A00DF6" w:rsidP="00C3103C">
      <w:pPr>
        <w:pStyle w:val="ListParagraph"/>
        <w:numPr>
          <w:ilvl w:val="0"/>
          <w:numId w:val="3"/>
        </w:numPr>
        <w:adjustRightInd w:val="0"/>
        <w:spacing w:line="276" w:lineRule="auto"/>
        <w:ind w:left="357" w:hanging="357"/>
        <w:contextualSpacing w:val="0"/>
        <w:rPr>
          <w:rFonts w:ascii="Georgia" w:hAnsi="Georgia" w:cs="Arial"/>
          <w:color w:val="000000"/>
          <w:sz w:val="18"/>
          <w:szCs w:val="18"/>
          <w:lang w:val="en-GB"/>
        </w:rPr>
      </w:pPr>
      <w:r w:rsidRPr="00A00DF6">
        <w:rPr>
          <w:rFonts w:ascii="Georgia" w:hAnsi="Georgia"/>
          <w:sz w:val="18"/>
          <w:szCs w:val="18"/>
        </w:rPr>
        <w:t xml:space="preserve">Ellsberg, D. (1961). Risk, Ambiguity, and the Savage Axioms. </w:t>
      </w:r>
      <w:r w:rsidRPr="00A00DF6">
        <w:rPr>
          <w:rFonts w:ascii="Georgia" w:hAnsi="Georgia"/>
          <w:i/>
          <w:iCs/>
          <w:sz w:val="18"/>
          <w:szCs w:val="18"/>
        </w:rPr>
        <w:t>The Quarterly Journal of Economics</w:t>
      </w:r>
      <w:r w:rsidRPr="00A00DF6">
        <w:rPr>
          <w:rFonts w:ascii="Georgia" w:hAnsi="Georgia"/>
          <w:sz w:val="18"/>
          <w:szCs w:val="18"/>
        </w:rPr>
        <w:t xml:space="preserve">, </w:t>
      </w:r>
      <w:r w:rsidRPr="00A00DF6">
        <w:rPr>
          <w:rFonts w:ascii="Georgia" w:hAnsi="Georgia"/>
          <w:i/>
          <w:iCs/>
          <w:sz w:val="18"/>
          <w:szCs w:val="18"/>
        </w:rPr>
        <w:t>75</w:t>
      </w:r>
      <w:r w:rsidRPr="00A00DF6">
        <w:rPr>
          <w:rFonts w:ascii="Georgia" w:hAnsi="Georgia"/>
          <w:sz w:val="18"/>
          <w:szCs w:val="18"/>
        </w:rPr>
        <w:t xml:space="preserve">(4), 643–669. </w:t>
      </w:r>
      <w:r w:rsidR="00000000">
        <w:fldChar w:fldCharType="begin"/>
      </w:r>
      <w:r w:rsidR="00000000">
        <w:instrText>HYPERLINK "https://doi.org/10.2307/1884324"</w:instrText>
      </w:r>
      <w:r w:rsidR="00000000">
        <w:fldChar w:fldCharType="separate"/>
      </w:r>
      <w:r w:rsidRPr="00A00DF6">
        <w:rPr>
          <w:rStyle w:val="Hyperlink"/>
          <w:rFonts w:ascii="Georgia" w:hAnsi="Georgia"/>
          <w:sz w:val="18"/>
          <w:szCs w:val="18"/>
        </w:rPr>
        <w:t>https://doi.org/10.2307/1884324</w:t>
      </w:r>
      <w:r w:rsidR="00000000">
        <w:rPr>
          <w:rStyle w:val="Hyperlink"/>
          <w:rFonts w:ascii="Georgia" w:hAnsi="Georgia"/>
          <w:sz w:val="18"/>
          <w:szCs w:val="18"/>
        </w:rPr>
        <w:fldChar w:fldCharType="end"/>
      </w:r>
    </w:p>
    <w:p w14:paraId="47F72123" w14:textId="39BC9538" w:rsidR="00FF1F7E" w:rsidRPr="000D2E2E" w:rsidRDefault="001835E0" w:rsidP="00FF1F7E">
      <w:pPr>
        <w:pStyle w:val="ListParagraph"/>
        <w:numPr>
          <w:ilvl w:val="0"/>
          <w:numId w:val="3"/>
        </w:numPr>
        <w:adjustRightInd w:val="0"/>
        <w:spacing w:line="276" w:lineRule="auto"/>
        <w:ind w:left="357" w:hanging="357"/>
        <w:contextualSpacing w:val="0"/>
        <w:rPr>
          <w:rFonts w:ascii="Georgia" w:eastAsia="Times New Roman" w:hAnsi="Georgia"/>
          <w:sz w:val="18"/>
          <w:szCs w:val="20"/>
          <w:lang w:eastAsia="ko-KR" w:bidi="th-TH"/>
        </w:rPr>
      </w:pPr>
      <w:r w:rsidRPr="000D2E2E">
        <w:rPr>
          <w:rFonts w:ascii="Georgia" w:hAnsi="Georgia"/>
          <w:sz w:val="18"/>
          <w:szCs w:val="18"/>
        </w:rPr>
        <w:t xml:space="preserve">Fernández-Villaverde, </w:t>
      </w:r>
      <w:r w:rsidR="00FF1F7E" w:rsidRPr="000D2E2E">
        <w:rPr>
          <w:rFonts w:ascii="Georgia" w:hAnsi="Georgia"/>
          <w:sz w:val="18"/>
          <w:szCs w:val="18"/>
        </w:rPr>
        <w:t>J. &amp;</w:t>
      </w:r>
      <w:r w:rsidRPr="000D2E2E">
        <w:rPr>
          <w:rFonts w:ascii="Georgia" w:hAnsi="Georgia"/>
          <w:sz w:val="18"/>
          <w:szCs w:val="18"/>
        </w:rPr>
        <w:t xml:space="preserve"> Guerrón-Quintana, P.</w:t>
      </w:r>
      <w:r w:rsidR="00FF1F7E" w:rsidRPr="000D2E2E">
        <w:rPr>
          <w:rFonts w:ascii="Georgia" w:hAnsi="Georgia"/>
          <w:sz w:val="18"/>
          <w:szCs w:val="18"/>
        </w:rPr>
        <w:t xml:space="preserve"> </w:t>
      </w:r>
      <w:r w:rsidRPr="000D2E2E">
        <w:rPr>
          <w:rFonts w:ascii="Georgia" w:hAnsi="Georgia"/>
          <w:sz w:val="18"/>
          <w:szCs w:val="18"/>
        </w:rPr>
        <w:t>A.</w:t>
      </w:r>
      <w:r w:rsidR="00042691" w:rsidRPr="000D2E2E">
        <w:rPr>
          <w:rFonts w:ascii="Georgia" w:hAnsi="Georgia"/>
          <w:sz w:val="18"/>
          <w:szCs w:val="18"/>
        </w:rPr>
        <w:t xml:space="preserve"> (</w:t>
      </w:r>
      <w:r w:rsidRPr="000D2E2E">
        <w:rPr>
          <w:rFonts w:ascii="Georgia" w:hAnsi="Georgia"/>
          <w:sz w:val="18"/>
          <w:szCs w:val="18"/>
        </w:rPr>
        <w:t>2020</w:t>
      </w:r>
      <w:r w:rsidR="00042691" w:rsidRPr="000D2E2E">
        <w:rPr>
          <w:rFonts w:ascii="Georgia" w:hAnsi="Georgia"/>
          <w:sz w:val="18"/>
          <w:szCs w:val="18"/>
        </w:rPr>
        <w:t>)</w:t>
      </w:r>
      <w:r w:rsidRPr="000D2E2E">
        <w:rPr>
          <w:rFonts w:ascii="Georgia" w:hAnsi="Georgia"/>
          <w:sz w:val="18"/>
          <w:szCs w:val="18"/>
        </w:rPr>
        <w:t xml:space="preserve">. Uncertainty shocks and business cycle research. </w:t>
      </w:r>
      <w:r w:rsidRPr="000D2E2E">
        <w:rPr>
          <w:rFonts w:ascii="Georgia" w:hAnsi="Georgia"/>
          <w:i/>
          <w:iCs/>
          <w:sz w:val="18"/>
          <w:szCs w:val="18"/>
        </w:rPr>
        <w:t>Review of Economic Dynamics</w:t>
      </w:r>
      <w:r w:rsidRPr="000D2E2E">
        <w:rPr>
          <w:rFonts w:ascii="Georgia" w:hAnsi="Georgia"/>
          <w:sz w:val="18"/>
          <w:szCs w:val="18"/>
        </w:rPr>
        <w:t xml:space="preserve">. </w:t>
      </w:r>
      <w:r w:rsidR="00000000">
        <w:fldChar w:fldCharType="begin"/>
      </w:r>
      <w:r w:rsidR="00000000">
        <w:instrText>HYPERLINK "https://doi.org/10.1016/j.red.2020.06.005"</w:instrText>
      </w:r>
      <w:r w:rsidR="00000000">
        <w:fldChar w:fldCharType="separate"/>
      </w:r>
      <w:r w:rsidRPr="000D2E2E">
        <w:rPr>
          <w:rStyle w:val="Hyperlink"/>
          <w:rFonts w:ascii="Georgia" w:hAnsi="Georgia"/>
          <w:sz w:val="18"/>
          <w:szCs w:val="18"/>
        </w:rPr>
        <w:t>https://doi.org/10.1016/j.red.2020.06.005</w:t>
      </w:r>
      <w:r w:rsidR="00000000">
        <w:rPr>
          <w:rStyle w:val="Hyperlink"/>
          <w:rFonts w:ascii="Georgia" w:hAnsi="Georgia"/>
          <w:sz w:val="18"/>
          <w:szCs w:val="18"/>
        </w:rPr>
        <w:fldChar w:fldCharType="end"/>
      </w:r>
    </w:p>
    <w:p w14:paraId="12B5664E" w14:textId="14160AC4" w:rsidR="00FF1F7E" w:rsidRPr="000D2E2E" w:rsidRDefault="00FF1F7E" w:rsidP="00FF1F7E">
      <w:pPr>
        <w:pStyle w:val="ListParagraph"/>
        <w:numPr>
          <w:ilvl w:val="0"/>
          <w:numId w:val="3"/>
        </w:numPr>
        <w:adjustRightInd w:val="0"/>
        <w:spacing w:line="276" w:lineRule="auto"/>
        <w:ind w:left="357" w:hanging="357"/>
        <w:contextualSpacing w:val="0"/>
        <w:rPr>
          <w:rFonts w:ascii="Georgia" w:eastAsia="Times New Roman" w:hAnsi="Georgia"/>
          <w:sz w:val="18"/>
          <w:szCs w:val="20"/>
          <w:lang w:eastAsia="ko-KR" w:bidi="th-TH"/>
        </w:rPr>
      </w:pPr>
      <w:r w:rsidRPr="000D2E2E">
        <w:rPr>
          <w:rFonts w:ascii="Georgia" w:hAnsi="Georgia" w:cs="Arial"/>
          <w:color w:val="000000"/>
          <w:sz w:val="18"/>
          <w:szCs w:val="18"/>
        </w:rPr>
        <w:t>Knight, F. H. (1921). Risk, Uncertainty and Profit, University of Illinois at Urbana-Champaign's Academy for Entrepreneurial Leadership Historical Research Reference in Entrepreneurship. </w:t>
      </w:r>
      <w:r w:rsidR="00000000">
        <w:fldChar w:fldCharType="begin"/>
      </w:r>
      <w:r w:rsidR="00000000">
        <w:instrText>HYPERLINK "https://ssrn.com/abstract=1496192" \t "_blank"</w:instrText>
      </w:r>
      <w:r w:rsidR="00000000">
        <w:fldChar w:fldCharType="separate"/>
      </w:r>
      <w:r w:rsidRPr="000D2E2E">
        <w:rPr>
          <w:rStyle w:val="Hyperlink"/>
          <w:rFonts w:ascii="Georgia" w:hAnsi="Georgia" w:cs="Arial"/>
          <w:sz w:val="18"/>
          <w:szCs w:val="18"/>
        </w:rPr>
        <w:t>https://ssrn.com/abstract=1496192</w:t>
      </w:r>
      <w:r w:rsidR="00000000">
        <w:rPr>
          <w:rStyle w:val="Hyperlink"/>
          <w:rFonts w:ascii="Georgia" w:hAnsi="Georgia" w:cs="Arial"/>
          <w:sz w:val="18"/>
          <w:szCs w:val="18"/>
        </w:rPr>
        <w:fldChar w:fldCharType="end"/>
      </w:r>
    </w:p>
    <w:p w14:paraId="7E028419" w14:textId="6CE4D4F0" w:rsidR="0067252C" w:rsidRPr="000D2E2E" w:rsidRDefault="00FF1F7E" w:rsidP="00FF1F7E">
      <w:pPr>
        <w:pStyle w:val="ListParagraph"/>
        <w:numPr>
          <w:ilvl w:val="0"/>
          <w:numId w:val="3"/>
        </w:numPr>
        <w:adjustRightInd w:val="0"/>
        <w:spacing w:line="276" w:lineRule="auto"/>
        <w:ind w:left="357" w:hanging="357"/>
        <w:contextualSpacing w:val="0"/>
        <w:rPr>
          <w:rFonts w:ascii="Georgia" w:eastAsia="Times New Roman" w:hAnsi="Georgia"/>
          <w:sz w:val="18"/>
          <w:szCs w:val="20"/>
          <w:lang w:eastAsia="ko-KR" w:bidi="th-TH"/>
        </w:rPr>
      </w:pPr>
      <w:r w:rsidRPr="000D2E2E">
        <w:rPr>
          <w:rFonts w:ascii="Georgia" w:hAnsi="Georgia"/>
          <w:sz w:val="18"/>
          <w:szCs w:val="18"/>
        </w:rPr>
        <w:t xml:space="preserve">Piccillo, G. &amp; Poonpakdee, P. (2021). Effects of Macro Uncertainty on Mean Expectation and Subjective Uncertainty: Evidence from Households and Professional Forecasters. </w:t>
      </w:r>
      <w:r w:rsidRPr="000D2E2E">
        <w:rPr>
          <w:rFonts w:ascii="Georgia" w:hAnsi="Georgia"/>
          <w:i/>
          <w:iCs/>
          <w:sz w:val="18"/>
          <w:szCs w:val="18"/>
        </w:rPr>
        <w:t>CESifo Working Paper Series</w:t>
      </w:r>
      <w:r w:rsidRPr="000D2E2E">
        <w:rPr>
          <w:rFonts w:ascii="Georgia" w:hAnsi="Georgia"/>
          <w:sz w:val="18"/>
          <w:szCs w:val="18"/>
        </w:rPr>
        <w:t xml:space="preserve">. </w:t>
      </w:r>
      <w:r w:rsidR="00000000">
        <w:fldChar w:fldCharType="begin"/>
      </w:r>
      <w:r w:rsidR="00000000">
        <w:instrText>HYPERLINK "https://ideas.repec.org/p/ces/ceswps/_9486.html"</w:instrText>
      </w:r>
      <w:r w:rsidR="00000000">
        <w:fldChar w:fldCharType="separate"/>
      </w:r>
      <w:r w:rsidRPr="000D2E2E">
        <w:rPr>
          <w:rStyle w:val="Hyperlink"/>
          <w:rFonts w:ascii="Georgia" w:hAnsi="Georgia"/>
          <w:sz w:val="18"/>
          <w:szCs w:val="18"/>
        </w:rPr>
        <w:t>https://ideas.repec.org/p/ces/ceswps/_9486.html</w:t>
      </w:r>
      <w:r w:rsidR="00000000">
        <w:rPr>
          <w:rStyle w:val="Hyperlink"/>
          <w:rFonts w:ascii="Georgia" w:hAnsi="Georgia"/>
          <w:sz w:val="18"/>
          <w:szCs w:val="18"/>
        </w:rPr>
        <w:fldChar w:fldCharType="end"/>
      </w:r>
    </w:p>
    <w:p w14:paraId="21C9F732" w14:textId="77777777" w:rsidR="00FF1F7E" w:rsidRPr="00FF1F7E" w:rsidRDefault="00FF1F7E" w:rsidP="00FF1F7E">
      <w:pPr>
        <w:adjustRightInd w:val="0"/>
        <w:spacing w:line="276" w:lineRule="auto"/>
        <w:rPr>
          <w:rFonts w:ascii="Georgia" w:eastAsia="Times New Roman" w:hAnsi="Georgia"/>
          <w:szCs w:val="24"/>
          <w:lang w:eastAsia="ko-KR" w:bidi="th-TH"/>
        </w:rPr>
      </w:pPr>
    </w:p>
    <w:p w14:paraId="4192B60F" w14:textId="77777777" w:rsidR="0067252C" w:rsidRPr="00641444" w:rsidRDefault="0067252C" w:rsidP="0067252C">
      <w:pPr>
        <w:pStyle w:val="Default"/>
        <w:pBdr>
          <w:top w:val="single" w:sz="4" w:space="1" w:color="auto"/>
        </w:pBdr>
        <w:jc w:val="both"/>
        <w:rPr>
          <w:rFonts w:ascii="Georgia" w:hAnsi="Georgia" w:cs="Arial"/>
          <w:b/>
          <w:sz w:val="22"/>
          <w:szCs w:val="22"/>
          <w:lang w:val="en-US"/>
        </w:rPr>
      </w:pP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The deadline for submissions is </w:t>
      </w:r>
      <w:r>
        <w:rPr>
          <w:rFonts w:ascii="Georgia" w:hAnsi="Georgia" w:cs="Arial"/>
          <w:b/>
          <w:sz w:val="22"/>
          <w:szCs w:val="22"/>
          <w:lang w:val="en-US"/>
        </w:rPr>
        <w:t xml:space="preserve">1 </w:t>
      </w:r>
      <w:proofErr w:type="gramStart"/>
      <w:r>
        <w:rPr>
          <w:rFonts w:ascii="Georgia" w:hAnsi="Georgia" w:cs="Arial"/>
          <w:b/>
          <w:sz w:val="22"/>
          <w:szCs w:val="22"/>
          <w:lang w:val="en-US"/>
        </w:rPr>
        <w:t>June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>,</w:t>
      </w:r>
      <w:proofErr w:type="gramEnd"/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 202</w:t>
      </w:r>
      <w:r>
        <w:rPr>
          <w:rFonts w:ascii="Georgia" w:hAnsi="Georgia" w:cs="Arial"/>
          <w:b/>
          <w:sz w:val="22"/>
          <w:szCs w:val="22"/>
          <w:lang w:val="en-US"/>
        </w:rPr>
        <w:t>3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. </w:t>
      </w:r>
    </w:p>
    <w:p w14:paraId="345F2468" w14:textId="77777777" w:rsidR="0067252C" w:rsidRPr="00641444" w:rsidRDefault="0067252C" w:rsidP="0067252C">
      <w:pPr>
        <w:pStyle w:val="Default"/>
        <w:jc w:val="both"/>
        <w:rPr>
          <w:rFonts w:ascii="Georgia" w:hAnsi="Georgia" w:cs="Arial"/>
          <w:sz w:val="22"/>
          <w:szCs w:val="22"/>
          <w:lang w:val="en-US"/>
        </w:rPr>
      </w:pPr>
      <w:r w:rsidRPr="00641444">
        <w:rPr>
          <w:rFonts w:ascii="Georgia" w:hAnsi="Georgia" w:cs="Arial"/>
          <w:sz w:val="22"/>
          <w:szCs w:val="22"/>
          <w:lang w:val="en-US"/>
        </w:rPr>
        <w:t xml:space="preserve">All submissions must use the 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>submission template</w:t>
      </w:r>
      <w:r w:rsidRPr="00641444">
        <w:rPr>
          <w:rFonts w:ascii="Georgia" w:hAnsi="Georgia" w:cs="Arial"/>
          <w:sz w:val="22"/>
          <w:szCs w:val="22"/>
          <w:lang w:val="en-US"/>
        </w:rPr>
        <w:t xml:space="preserve"> and 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>use the submission procedure</w:t>
      </w:r>
      <w:r w:rsidRPr="00641444">
        <w:rPr>
          <w:rFonts w:ascii="Georgia" w:hAnsi="Georgia" w:cs="Arial"/>
          <w:sz w:val="22"/>
          <w:szCs w:val="22"/>
          <w:lang w:val="en-US"/>
        </w:rPr>
        <w:t xml:space="preserve"> on the webpage otherwise they will not be considered for review. </w:t>
      </w:r>
    </w:p>
    <w:p w14:paraId="41048425" w14:textId="77777777" w:rsidR="0067252C" w:rsidRDefault="0067252C" w:rsidP="0067252C">
      <w:pPr>
        <w:pStyle w:val="Default"/>
        <w:jc w:val="both"/>
        <w:rPr>
          <w:rFonts w:ascii="Georgia" w:hAnsi="Georgia" w:cs="Arial"/>
          <w:sz w:val="22"/>
          <w:szCs w:val="22"/>
          <w:lang w:val="en-US"/>
        </w:rPr>
      </w:pP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Submit your paper </w:t>
      </w:r>
      <w:r w:rsidRPr="005E68CD">
        <w:rPr>
          <w:rFonts w:ascii="Georgia" w:hAnsi="Georgia" w:cs="Arial"/>
          <w:b/>
          <w:sz w:val="22"/>
          <w:szCs w:val="22"/>
          <w:lang w:val="en-US"/>
        </w:rPr>
        <w:t>here</w:t>
      </w:r>
      <w:r w:rsidRPr="005A34F7">
        <w:rPr>
          <w:rFonts w:ascii="Georgia" w:hAnsi="Georgia" w:cs="Arial"/>
          <w:sz w:val="22"/>
          <w:szCs w:val="22"/>
          <w:lang w:val="en-US"/>
        </w:rPr>
        <w:t>.</w:t>
      </w:r>
    </w:p>
    <w:p w14:paraId="654E5B87" w14:textId="77777777" w:rsidR="0067252C" w:rsidRPr="005A34F7" w:rsidRDefault="0067252C" w:rsidP="0067252C">
      <w:pPr>
        <w:pStyle w:val="Default"/>
        <w:jc w:val="both"/>
        <w:rPr>
          <w:rFonts w:ascii="Georgia" w:hAnsi="Georgia" w:cs="Arial"/>
          <w:b/>
          <w:sz w:val="22"/>
          <w:szCs w:val="22"/>
          <w:lang w:val="en-US"/>
        </w:rPr>
      </w:pPr>
    </w:p>
    <w:p w14:paraId="0A1A2CF4" w14:textId="77777777" w:rsidR="0067252C" w:rsidRPr="00641444" w:rsidRDefault="0067252C" w:rsidP="0067252C">
      <w:pPr>
        <w:pStyle w:val="Default"/>
        <w:jc w:val="both"/>
        <w:rPr>
          <w:rFonts w:ascii="Georgia" w:hAnsi="Georgia" w:cs="Arial"/>
          <w:b/>
          <w:sz w:val="22"/>
          <w:szCs w:val="22"/>
          <w:lang w:val="en-US"/>
        </w:rPr>
      </w:pP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The registration for the </w:t>
      </w:r>
      <w:r>
        <w:rPr>
          <w:rFonts w:ascii="Georgia" w:hAnsi="Georgia" w:cs="Arial"/>
          <w:b/>
          <w:sz w:val="22"/>
          <w:szCs w:val="22"/>
          <w:lang w:val="en-US"/>
        </w:rPr>
        <w:t xml:space="preserve">MORSE 2023 will be 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open </w:t>
      </w:r>
      <w:r w:rsidRPr="005A34F7">
        <w:rPr>
          <w:rFonts w:ascii="Georgia" w:hAnsi="Georgia" w:cs="Arial"/>
          <w:b/>
          <w:sz w:val="22"/>
          <w:szCs w:val="22"/>
          <w:lang w:val="en-US"/>
        </w:rPr>
        <w:t xml:space="preserve">until 31st </w:t>
      </w:r>
      <w:proofErr w:type="gramStart"/>
      <w:r w:rsidRPr="005A34F7">
        <w:rPr>
          <w:rFonts w:ascii="Georgia" w:hAnsi="Georgia" w:cs="Arial"/>
          <w:b/>
          <w:sz w:val="22"/>
          <w:szCs w:val="22"/>
          <w:lang w:val="en-US"/>
        </w:rPr>
        <w:t>August</w:t>
      </w:r>
      <w:r>
        <w:rPr>
          <w:rFonts w:ascii="Georgia" w:hAnsi="Georgia" w:cs="Arial"/>
          <w:b/>
          <w:sz w:val="22"/>
          <w:szCs w:val="22"/>
          <w:lang w:val="en-US"/>
        </w:rPr>
        <w:t>,</w:t>
      </w:r>
      <w:proofErr w:type="gramEnd"/>
      <w:r w:rsidRPr="005A34F7">
        <w:rPr>
          <w:rFonts w:ascii="Georgia" w:hAnsi="Georgia" w:cs="Arial"/>
          <w:b/>
          <w:sz w:val="22"/>
          <w:szCs w:val="22"/>
          <w:lang w:val="en-US"/>
        </w:rPr>
        <w:t xml:space="preserve"> 20</w:t>
      </w:r>
      <w:r>
        <w:rPr>
          <w:rFonts w:ascii="Georgia" w:hAnsi="Georgia" w:cs="Arial"/>
          <w:b/>
          <w:sz w:val="22"/>
          <w:szCs w:val="22"/>
          <w:lang w:val="en-US"/>
        </w:rPr>
        <w:t>23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. </w:t>
      </w:r>
    </w:p>
    <w:p w14:paraId="293B3720" w14:textId="77777777" w:rsidR="0067252C" w:rsidRPr="005A34F7" w:rsidRDefault="0067252C" w:rsidP="0067252C">
      <w:pPr>
        <w:pStyle w:val="Default"/>
        <w:jc w:val="both"/>
        <w:rPr>
          <w:rFonts w:ascii="Georgia" w:hAnsi="Georgia" w:cs="Arial"/>
          <w:b/>
          <w:sz w:val="20"/>
          <w:szCs w:val="20"/>
          <w:lang w:val="en-US"/>
        </w:rPr>
      </w:pP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Register </w:t>
      </w:r>
      <w:r w:rsidRPr="005E68CD">
        <w:rPr>
          <w:rFonts w:ascii="Georgia" w:hAnsi="Georgia" w:cs="Arial"/>
          <w:b/>
          <w:sz w:val="22"/>
          <w:szCs w:val="22"/>
          <w:lang w:val="en-US"/>
        </w:rPr>
        <w:t>here</w:t>
      </w:r>
      <w:r w:rsidRPr="005A34F7">
        <w:rPr>
          <w:rFonts w:ascii="Georgia" w:hAnsi="Georgia" w:cs="Arial"/>
          <w:b/>
          <w:sz w:val="22"/>
          <w:szCs w:val="22"/>
          <w:lang w:val="en-GB"/>
        </w:rPr>
        <w:t>.</w:t>
      </w:r>
    </w:p>
    <w:p w14:paraId="5FBEA016" w14:textId="77777777" w:rsidR="0067252C" w:rsidRPr="00201F97" w:rsidRDefault="0067252C" w:rsidP="0067252C">
      <w:pPr>
        <w:pStyle w:val="Default"/>
        <w:jc w:val="both"/>
        <w:rPr>
          <w:lang w:val="en-US"/>
        </w:rPr>
      </w:pPr>
    </w:p>
    <w:p w14:paraId="6AA77A70" w14:textId="77777777" w:rsidR="00943528" w:rsidRPr="0067252C" w:rsidRDefault="00943528">
      <w:pPr>
        <w:rPr>
          <w:b/>
          <w:bCs/>
        </w:rPr>
      </w:pPr>
    </w:p>
    <w:sectPr w:rsidR="00943528" w:rsidRPr="0067252C" w:rsidSect="00201F97">
      <w:footerReference w:type="default" r:id="rId10"/>
      <w:pgSz w:w="11906" w:h="16838"/>
      <w:pgMar w:top="568" w:right="991" w:bottom="1134" w:left="993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F5D5" w14:textId="77777777" w:rsidR="00D958C9" w:rsidRDefault="00D958C9">
      <w:pPr>
        <w:spacing w:after="0" w:line="240" w:lineRule="auto"/>
      </w:pPr>
      <w:r>
        <w:separator/>
      </w:r>
    </w:p>
  </w:endnote>
  <w:endnote w:type="continuationSeparator" w:id="0">
    <w:p w14:paraId="543196EA" w14:textId="77777777" w:rsidR="00D958C9" w:rsidRDefault="00D9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sicCommercial LT Light">
    <w:altName w:val="Calibri"/>
    <w:charset w:val="00"/>
    <w:family w:val="auto"/>
    <w:pitch w:val="variable"/>
    <w:sig w:usb0="80000007" w:usb1="0000004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C4E9" w14:textId="77777777" w:rsidR="00201F97" w:rsidRPr="00C23716" w:rsidRDefault="00000000" w:rsidP="00C23716">
    <w:pPr>
      <w:pStyle w:val="Footer"/>
    </w:pPr>
    <w:r w:rsidRPr="00B7000E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C9098A4" wp14:editId="323CA318">
          <wp:simplePos x="0" y="0"/>
          <wp:positionH relativeFrom="margin">
            <wp:posOffset>-462038</wp:posOffset>
          </wp:positionH>
          <wp:positionV relativeFrom="paragraph">
            <wp:posOffset>-268726</wp:posOffset>
          </wp:positionV>
          <wp:extent cx="1630680" cy="417830"/>
          <wp:effectExtent l="0" t="0" r="7620" b="1270"/>
          <wp:wrapNone/>
          <wp:docPr id="61" name="Grafik 61" descr="https://logos-download.com/wp-content/uploads/2017/11/Maastricht_Univers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ogos-download.com/wp-content/uploads/2017/11/Maastricht_Universit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CB32" w14:textId="77777777" w:rsidR="00D958C9" w:rsidRDefault="00D958C9">
      <w:pPr>
        <w:spacing w:after="0" w:line="240" w:lineRule="auto"/>
      </w:pPr>
      <w:r>
        <w:separator/>
      </w:r>
    </w:p>
  </w:footnote>
  <w:footnote w:type="continuationSeparator" w:id="0">
    <w:p w14:paraId="6E0EE955" w14:textId="77777777" w:rsidR="00D958C9" w:rsidRDefault="00D95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38CE"/>
    <w:multiLevelType w:val="hybridMultilevel"/>
    <w:tmpl w:val="F53C8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F2D89"/>
    <w:multiLevelType w:val="hybridMultilevel"/>
    <w:tmpl w:val="56ECF7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20251"/>
    <w:multiLevelType w:val="hybridMultilevel"/>
    <w:tmpl w:val="F8EE86F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1458784">
    <w:abstractNumId w:val="0"/>
  </w:num>
  <w:num w:numId="2" w16cid:durableId="663431115">
    <w:abstractNumId w:val="1"/>
  </w:num>
  <w:num w:numId="3" w16cid:durableId="399208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2C"/>
    <w:rsid w:val="00042691"/>
    <w:rsid w:val="000D2E2E"/>
    <w:rsid w:val="001835E0"/>
    <w:rsid w:val="00296237"/>
    <w:rsid w:val="00315CD0"/>
    <w:rsid w:val="00401133"/>
    <w:rsid w:val="004E705A"/>
    <w:rsid w:val="00514D68"/>
    <w:rsid w:val="00614693"/>
    <w:rsid w:val="0067252C"/>
    <w:rsid w:val="00705070"/>
    <w:rsid w:val="008D6CD0"/>
    <w:rsid w:val="00922AF3"/>
    <w:rsid w:val="00943528"/>
    <w:rsid w:val="00A00DF6"/>
    <w:rsid w:val="00A011DA"/>
    <w:rsid w:val="00A33F60"/>
    <w:rsid w:val="00B13371"/>
    <w:rsid w:val="00B553B4"/>
    <w:rsid w:val="00B95AD8"/>
    <w:rsid w:val="00C93AB9"/>
    <w:rsid w:val="00CB0FCC"/>
    <w:rsid w:val="00D958C9"/>
    <w:rsid w:val="00ED6EE5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EC04A"/>
  <w15:chartTrackingRefBased/>
  <w15:docId w15:val="{CE5BE84F-0460-4BD2-9763-2B93D378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ko-KR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52C"/>
    <w:rPr>
      <w:rFonts w:eastAsiaTheme="minorHAnsi"/>
      <w:kern w:val="0"/>
      <w:szCs w:val="22"/>
      <w:lang w:val="de-CH" w:eastAsia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2C"/>
    <w:rPr>
      <w:rFonts w:eastAsiaTheme="minorHAnsi"/>
      <w:kern w:val="0"/>
      <w:szCs w:val="22"/>
      <w:lang w:val="de-CH" w:eastAsia="en-US" w:bidi="ar-SA"/>
      <w14:ligatures w14:val="none"/>
    </w:rPr>
  </w:style>
  <w:style w:type="paragraph" w:customStyle="1" w:styleId="Default">
    <w:name w:val="Default"/>
    <w:rsid w:val="0067252C"/>
    <w:pPr>
      <w:autoSpaceDE w:val="0"/>
      <w:autoSpaceDN w:val="0"/>
      <w:adjustRightInd w:val="0"/>
      <w:spacing w:after="0" w:line="240" w:lineRule="auto"/>
    </w:pPr>
    <w:rPr>
      <w:rFonts w:ascii="BasicCommercial LT Light" w:eastAsiaTheme="minorHAnsi" w:hAnsi="BasicCommercial LT Light" w:cs="BasicCommercial LT Light"/>
      <w:color w:val="000000"/>
      <w:kern w:val="0"/>
      <w:sz w:val="24"/>
      <w:szCs w:val="24"/>
      <w:lang w:val="de-CH" w:eastAsia="en-US" w:bidi="ar-SA"/>
      <w14:ligatures w14:val="none"/>
    </w:rPr>
  </w:style>
  <w:style w:type="character" w:styleId="Hyperlink">
    <w:name w:val="Hyperlink"/>
    <w:rsid w:val="006725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25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0FCC"/>
    <w:rPr>
      <w:color w:val="605E5C"/>
      <w:shd w:val="clear" w:color="auto" w:fill="E1DFDD"/>
    </w:rPr>
  </w:style>
  <w:style w:type="character" w:customStyle="1" w:styleId="Title1">
    <w:name w:val="Title1"/>
    <w:basedOn w:val="DefaultParagraphFont"/>
    <w:rsid w:val="00042691"/>
  </w:style>
  <w:style w:type="character" w:customStyle="1" w:styleId="journal">
    <w:name w:val="journal"/>
    <w:basedOn w:val="DefaultParagraphFont"/>
    <w:rsid w:val="00042691"/>
  </w:style>
  <w:style w:type="character" w:customStyle="1" w:styleId="vol">
    <w:name w:val="vol"/>
    <w:basedOn w:val="DefaultParagraphFont"/>
    <w:rsid w:val="00042691"/>
  </w:style>
  <w:style w:type="character" w:customStyle="1" w:styleId="pages">
    <w:name w:val="pages"/>
    <w:basedOn w:val="DefaultParagraphFont"/>
    <w:rsid w:val="00042691"/>
  </w:style>
  <w:style w:type="character" w:styleId="FollowedHyperlink">
    <w:name w:val="FollowedHyperlink"/>
    <w:basedOn w:val="DefaultParagraphFont"/>
    <w:uiPriority w:val="99"/>
    <w:semiHidden/>
    <w:unhideWhenUsed/>
    <w:rsid w:val="000426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1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9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6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1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9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49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4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3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econom.2020.03.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deas.repec.org/p/nbr/nberwo/29915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Poramapa Poonpakdee</dc:creator>
  <cp:keywords/>
  <dc:description/>
  <cp:lastModifiedBy>Piccillo, Giulia (ALGEC)</cp:lastModifiedBy>
  <cp:revision>3</cp:revision>
  <dcterms:created xsi:type="dcterms:W3CDTF">2023-03-31T08:21:00Z</dcterms:created>
  <dcterms:modified xsi:type="dcterms:W3CDTF">2023-03-31T09:13:00Z</dcterms:modified>
</cp:coreProperties>
</file>