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5A5" w:rsidRDefault="002630FE" w:rsidP="002630FE">
      <w:pPr>
        <w:spacing w:after="120" w:line="360" w:lineRule="auto"/>
        <w:jc w:val="center"/>
        <w:rPr>
          <w:b/>
        </w:rPr>
      </w:pPr>
      <w:r>
        <w:rPr>
          <w:b/>
        </w:rPr>
        <w:t>ABSTRACTS</w:t>
      </w:r>
    </w:p>
    <w:p w:rsidR="009355A5" w:rsidRDefault="002630FE">
      <w:pPr>
        <w:spacing w:before="240" w:after="240" w:line="360" w:lineRule="auto"/>
        <w:rPr>
          <w:i/>
        </w:rPr>
      </w:pPr>
      <w:r>
        <w:rPr>
          <w:i/>
        </w:rPr>
        <w:t>Duurzaam consumentenrecht</w:t>
      </w:r>
    </w:p>
    <w:p w:rsidR="009355A5" w:rsidRDefault="002630FE">
      <w:pPr>
        <w:spacing w:before="240" w:after="240" w:line="360" w:lineRule="auto"/>
        <w:rPr>
          <w:b/>
          <w:i/>
        </w:rPr>
      </w:pPr>
      <w:r>
        <w:rPr>
          <w:b/>
        </w:rPr>
        <w:lastRenderedPageBreak/>
        <w:t xml:space="preserve">Charlotte </w:t>
      </w:r>
      <w:proofErr w:type="spellStart"/>
      <w:r>
        <w:rPr>
          <w:b/>
        </w:rPr>
        <w:t>Pavillon</w:t>
      </w:r>
      <w:proofErr w:type="spellEnd"/>
      <w:r>
        <w:rPr>
          <w:b/>
        </w:rPr>
        <w:t xml:space="preserve"> &amp; Vanessa Mak</w:t>
      </w:r>
    </w:p>
    <w:p w:rsidR="009355A5" w:rsidRDefault="002630FE">
      <w:pPr>
        <w:spacing w:before="240" w:after="240" w:line="360" w:lineRule="auto"/>
        <w:jc w:val="both"/>
        <w:rPr>
          <w:b/>
          <w:i/>
        </w:rPr>
      </w:pPr>
      <w:r>
        <w:rPr>
          <w:b/>
          <w:i/>
        </w:rPr>
        <w:t>Duurzaamheid en consumentenvoorwaarden</w:t>
      </w:r>
    </w:p>
    <w:p w:rsidR="009355A5" w:rsidRDefault="002630FE">
      <w:pPr>
        <w:spacing w:before="240" w:after="240" w:line="360" w:lineRule="auto"/>
        <w:jc w:val="both"/>
      </w:pPr>
      <w:r>
        <w:t xml:space="preserve">Welke rol spelen bedingen in algemene voorwaarden bij het bereiken van duurzaamheidsdoelstellingen? Hoeveel ruimte is er voor het nastreven van deze doelstellingen door middel van </w:t>
      </w:r>
      <w:proofErr w:type="spellStart"/>
      <w:r>
        <w:t>contractsbedingen</w:t>
      </w:r>
      <w:proofErr w:type="spellEnd"/>
      <w:r>
        <w:t>? In hoeverre kunnen standaardisering en co-regulering de b</w:t>
      </w:r>
      <w:r>
        <w:t>ijdrage van contracten aan de verduurzaming vergroten? Publiekrechtelijke regelingen kunnen mogelijk via het contractenrecht worden afgedwongen. Tegelijkertijd kunnen zij een dergelijke bijdrage ook belemmeren, hetgeen ook geldt voor de moeizame handhaving</w:t>
      </w:r>
      <w:r>
        <w:t xml:space="preserve"> van duurzaamheidsverplichtingen via het consumentencontractenrecht.</w:t>
      </w:r>
    </w:p>
    <w:p w:rsidR="009355A5" w:rsidRDefault="002630FE">
      <w:pPr>
        <w:spacing w:before="240" w:after="240" w:line="360" w:lineRule="auto"/>
        <w:jc w:val="both"/>
      </w:pPr>
      <w:r>
        <w:t>Sommige bedingen staan de realisering van duurzaamheidsdoelstellingen thans ook nadrukkelijk in de weg. Gedacht kan worden aan bedingen die het recht op nakoming frustreren, aansprakelijk</w:t>
      </w:r>
      <w:r>
        <w:t xml:space="preserve">heidsbeperkingen of vervalbedingen die genoemde (private) handhaving van contractuele duurzaamheidsplichten bemoeilijken of aan onevenredige </w:t>
      </w:r>
      <w:r>
        <w:lastRenderedPageBreak/>
        <w:t>boetebedingen die de schuldenproblematiek verergeren. Kunnen de consumentenbeschermende regelingen en de manier waa</w:t>
      </w:r>
      <w:r>
        <w:t>rop de rechter deze uitlegt en toepast voorkomen dat dergelijke bedingen duurzaamheidsdoelstellingen frustreren?</w:t>
      </w:r>
    </w:p>
    <w:p w:rsidR="009355A5" w:rsidRDefault="002630FE">
      <w:pPr>
        <w:spacing w:before="240" w:after="240" w:line="360" w:lineRule="auto"/>
        <w:jc w:val="both"/>
      </w:pPr>
      <w:r>
        <w:t>De uitdaging is om sociale en ecologische duurzaamheidsdoelstellingen af te stemmen op de economische duurzaamheid. De eerste doelstellingen zo</w:t>
      </w:r>
      <w:r>
        <w:t xml:space="preserve">uden bedrijven moeten realiseren zonder hieraan “ten onder te gaan”; die realisering is afhankelijk van de economische levensvatbaarheid van de aangepaste </w:t>
      </w:r>
      <w:proofErr w:type="spellStart"/>
      <w:r>
        <w:t>contractsvoorwaarden</w:t>
      </w:r>
      <w:proofErr w:type="spellEnd"/>
      <w:r>
        <w:t>.</w:t>
      </w:r>
    </w:p>
    <w:p w:rsidR="009355A5" w:rsidRDefault="002630FE">
      <w:pPr>
        <w:spacing w:before="240" w:after="240" w:line="360" w:lineRule="auto"/>
        <w:jc w:val="both"/>
      </w:pPr>
      <w:r>
        <w:t xml:space="preserve"> </w:t>
      </w:r>
    </w:p>
    <w:p w:rsidR="002630FE" w:rsidRDefault="002630FE">
      <w:pPr>
        <w:spacing w:before="240" w:after="240" w:line="360" w:lineRule="auto"/>
        <w:jc w:val="both"/>
      </w:pPr>
    </w:p>
    <w:p w:rsidR="002630FE" w:rsidRDefault="002630FE">
      <w:pPr>
        <w:spacing w:before="240" w:after="240" w:line="360" w:lineRule="auto"/>
        <w:jc w:val="both"/>
      </w:pPr>
    </w:p>
    <w:p w:rsidR="002630FE" w:rsidRDefault="002630FE">
      <w:pPr>
        <w:spacing w:before="240" w:after="240" w:line="360" w:lineRule="auto"/>
        <w:jc w:val="both"/>
      </w:pPr>
    </w:p>
    <w:p w:rsidR="009355A5" w:rsidRPr="002630FE" w:rsidRDefault="002630FE">
      <w:pPr>
        <w:spacing w:before="240" w:after="240" w:line="360" w:lineRule="auto"/>
        <w:rPr>
          <w:b/>
          <w:lang w:val="en-US"/>
        </w:rPr>
      </w:pPr>
      <w:r w:rsidRPr="002630FE">
        <w:rPr>
          <w:b/>
          <w:lang w:val="en-US"/>
        </w:rPr>
        <w:t xml:space="preserve">Elias Van </w:t>
      </w:r>
      <w:proofErr w:type="spellStart"/>
      <w:r w:rsidRPr="002630FE">
        <w:rPr>
          <w:b/>
          <w:lang w:val="en-US"/>
        </w:rPr>
        <w:t>Gool</w:t>
      </w:r>
      <w:proofErr w:type="spellEnd"/>
      <w:r w:rsidRPr="002630FE">
        <w:rPr>
          <w:b/>
          <w:lang w:val="en-US"/>
        </w:rPr>
        <w:t xml:space="preserve">, Christopher </w:t>
      </w:r>
      <w:proofErr w:type="spellStart"/>
      <w:r w:rsidRPr="002630FE">
        <w:rPr>
          <w:b/>
          <w:lang w:val="en-US"/>
        </w:rPr>
        <w:t>Borucki</w:t>
      </w:r>
      <w:proofErr w:type="spellEnd"/>
      <w:r w:rsidRPr="002630FE">
        <w:rPr>
          <w:b/>
          <w:lang w:val="en-US"/>
        </w:rPr>
        <w:t xml:space="preserve"> &amp; </w:t>
      </w:r>
      <w:proofErr w:type="spellStart"/>
      <w:r w:rsidRPr="002630FE">
        <w:rPr>
          <w:b/>
          <w:lang w:val="en-US"/>
        </w:rPr>
        <w:t>Evelyne</w:t>
      </w:r>
      <w:proofErr w:type="spellEnd"/>
      <w:r w:rsidRPr="002630FE">
        <w:rPr>
          <w:b/>
          <w:lang w:val="en-US"/>
        </w:rPr>
        <w:t xml:space="preserve"> </w:t>
      </w:r>
      <w:proofErr w:type="spellStart"/>
      <w:r w:rsidRPr="002630FE">
        <w:rPr>
          <w:b/>
          <w:lang w:val="en-US"/>
        </w:rPr>
        <w:t>Terryn</w:t>
      </w:r>
      <w:proofErr w:type="spellEnd"/>
    </w:p>
    <w:p w:rsidR="009355A5" w:rsidRDefault="002630FE">
      <w:pPr>
        <w:spacing w:before="240" w:after="240" w:line="360" w:lineRule="auto"/>
        <w:jc w:val="both"/>
        <w:rPr>
          <w:b/>
          <w:i/>
        </w:rPr>
      </w:pPr>
      <w:r>
        <w:rPr>
          <w:b/>
          <w:i/>
        </w:rPr>
        <w:t xml:space="preserve">Right </w:t>
      </w:r>
      <w:proofErr w:type="spellStart"/>
      <w:r>
        <w:rPr>
          <w:b/>
          <w:i/>
        </w:rPr>
        <w:t>to</w:t>
      </w:r>
      <w:proofErr w:type="spellEnd"/>
      <w:r>
        <w:rPr>
          <w:b/>
          <w:i/>
        </w:rPr>
        <w:t xml:space="preserve"> </w:t>
      </w:r>
      <w:proofErr w:type="spellStart"/>
      <w:r>
        <w:rPr>
          <w:b/>
          <w:i/>
        </w:rPr>
        <w:t>repair</w:t>
      </w:r>
      <w:proofErr w:type="spellEnd"/>
      <w:r>
        <w:rPr>
          <w:b/>
          <w:i/>
        </w:rPr>
        <w:t xml:space="preserve"> (&amp; </w:t>
      </w:r>
      <w:proofErr w:type="spellStart"/>
      <w:r>
        <w:rPr>
          <w:b/>
          <w:i/>
        </w:rPr>
        <w:t>reman</w:t>
      </w:r>
      <w:r>
        <w:rPr>
          <w:b/>
          <w:i/>
        </w:rPr>
        <w:t>ufacture</w:t>
      </w:r>
      <w:proofErr w:type="spellEnd"/>
      <w:r>
        <w:rPr>
          <w:b/>
          <w:i/>
        </w:rPr>
        <w:t>): productaansprakelijkheid en productveiligheid</w:t>
      </w:r>
    </w:p>
    <w:p w:rsidR="009355A5" w:rsidRDefault="002630FE">
      <w:pPr>
        <w:spacing w:before="240" w:after="240" w:line="360" w:lineRule="auto"/>
        <w:jc w:val="both"/>
      </w:pPr>
      <w:r>
        <w:lastRenderedPageBreak/>
        <w:t xml:space="preserve">Eén van de speerpunten van het Europese circulaire economie-beleid is het creëren van een zogenaamd ‘right </w:t>
      </w:r>
      <w:proofErr w:type="spellStart"/>
      <w:r>
        <w:t>to</w:t>
      </w:r>
      <w:proofErr w:type="spellEnd"/>
      <w:r>
        <w:t xml:space="preserve"> </w:t>
      </w:r>
      <w:proofErr w:type="spellStart"/>
      <w:r>
        <w:t>repair</w:t>
      </w:r>
      <w:proofErr w:type="spellEnd"/>
      <w:r>
        <w:t>’: het effectief mogelijk en aantrekkelijk maken voor consumenten om zelf of bij de</w:t>
      </w:r>
      <w:r>
        <w:t xml:space="preserve">rden hun goederen te laten herstellen. Daarnaast is een meer verregaande vorm van herstelling die het produceren van een nieuw product benadert, de zogenaamde </w:t>
      </w:r>
      <w:proofErr w:type="spellStart"/>
      <w:r>
        <w:t>herproductie</w:t>
      </w:r>
      <w:proofErr w:type="spellEnd"/>
      <w:r>
        <w:t xml:space="preserve"> (‘</w:t>
      </w:r>
      <w:proofErr w:type="spellStart"/>
      <w:r>
        <w:t>remanufacturing</w:t>
      </w:r>
      <w:proofErr w:type="spellEnd"/>
      <w:r>
        <w:t>’ of ‘</w:t>
      </w:r>
      <w:proofErr w:type="spellStart"/>
      <w:r>
        <w:t>refurbishing</w:t>
      </w:r>
      <w:proofErr w:type="spellEnd"/>
      <w:r>
        <w:t>’), eveneens een belangrijke circulaire strategie</w:t>
      </w:r>
      <w:r>
        <w:t xml:space="preserve">. Zowel herstelling als </w:t>
      </w:r>
      <w:proofErr w:type="spellStart"/>
      <w:r>
        <w:t>herproductie</w:t>
      </w:r>
      <w:proofErr w:type="spellEnd"/>
      <w:r>
        <w:t xml:space="preserve"> werpen echter vragen op in het kader van het productveiligheids- en productaansprakelijkheidsrecht, in het bijzonder wanneer deze handelingen worden uitgevoerd door anderen dan de oorspronkelijke producent. Vanaf wannee</w:t>
      </w:r>
      <w:r>
        <w:t xml:space="preserve">r is er sprake van het plaatsen van een nieuw product op de markt? Wie is de producent van een verregaand hersteld goed? In welke mate kunnen de oorspronkelijke producent enerzijds en de hersteller of </w:t>
      </w:r>
      <w:proofErr w:type="spellStart"/>
      <w:r>
        <w:t>herproducent</w:t>
      </w:r>
      <w:proofErr w:type="spellEnd"/>
      <w:r>
        <w:t xml:space="preserve"> anderzijds zich beroepen op bepaalde verwe</w:t>
      </w:r>
      <w:r>
        <w:t>ermiddelen?</w:t>
      </w:r>
    </w:p>
    <w:p w:rsidR="009355A5" w:rsidRDefault="009355A5">
      <w:pPr>
        <w:spacing w:before="240" w:after="240" w:line="360" w:lineRule="auto"/>
        <w:jc w:val="both"/>
      </w:pPr>
    </w:p>
    <w:p w:rsidR="009355A5" w:rsidRDefault="002630FE">
      <w:pPr>
        <w:spacing w:before="240" w:after="240" w:line="360" w:lineRule="auto"/>
        <w:rPr>
          <w:b/>
        </w:rPr>
      </w:pPr>
      <w:r>
        <w:rPr>
          <w:b/>
        </w:rPr>
        <w:lastRenderedPageBreak/>
        <w:t xml:space="preserve">Bert </w:t>
      </w:r>
      <w:proofErr w:type="spellStart"/>
      <w:r>
        <w:rPr>
          <w:b/>
        </w:rPr>
        <w:t>Keirsbilck</w:t>
      </w:r>
      <w:proofErr w:type="spellEnd"/>
      <w:r>
        <w:rPr>
          <w:b/>
        </w:rPr>
        <w:t xml:space="preserve"> &amp; Elisa </w:t>
      </w:r>
      <w:proofErr w:type="spellStart"/>
      <w:r>
        <w:rPr>
          <w:b/>
        </w:rPr>
        <w:t>Paredis</w:t>
      </w:r>
      <w:proofErr w:type="spellEnd"/>
    </w:p>
    <w:p w:rsidR="009355A5" w:rsidRDefault="002630FE">
      <w:pPr>
        <w:spacing w:before="240" w:after="240" w:line="360" w:lineRule="auto"/>
        <w:jc w:val="both"/>
        <w:rPr>
          <w:b/>
        </w:rPr>
      </w:pPr>
      <w:r>
        <w:rPr>
          <w:b/>
          <w:i/>
        </w:rPr>
        <w:t>De rol van de consument in de verduurzaming van ons voedselsysteem: het (on)gemak van duurzame voedingskeuzes</w:t>
      </w:r>
    </w:p>
    <w:p w:rsidR="009355A5" w:rsidRDefault="002630FE">
      <w:pPr>
        <w:spacing w:before="240" w:after="240" w:line="360" w:lineRule="auto"/>
        <w:jc w:val="both"/>
      </w:pPr>
      <w:r>
        <w:t>Om de groeiende wereldbevolking te kunnen blijven voeden, zal de voedselproductie met 70% moeten toen</w:t>
      </w:r>
      <w:r>
        <w:t>emen tegen 2050. Toch botst het hedendaagse systeem van geïntensiveerde voedselproductie en -consumptie – verantwoordelijk voor een groot aandeel in de uitstoot van broeikasgassen, gebruik en vervuiling van water en land, en verlies aan biodiversiteit – te</w:t>
      </w:r>
      <w:r>
        <w:t>gen zijn limieten. De consument kan echter helpen om deze ecologische impact te verkleinen door te kiezen voor duurzame voeding. Naast het vraagstuk in welke mate de keuzevrijheid van de consument hieromtrent beperkt of gewaarborgd moet worden, staan boven</w:t>
      </w:r>
      <w:r>
        <w:t>dien enkele valkuilen een duurzame keuze in de weg: een opeenstapeling van (private) duurzaamheidslogo’s, de complexiteit van een uniforme levenscyclusanalyse voor levensmiddelen en foutieve vooroordelen zijn slechts enkele voorbeelden.</w:t>
      </w:r>
    </w:p>
    <w:p w:rsidR="009355A5" w:rsidRDefault="002630FE" w:rsidP="002630FE">
      <w:pPr>
        <w:spacing w:before="240" w:after="240" w:line="360" w:lineRule="auto"/>
        <w:jc w:val="both"/>
      </w:pPr>
      <w:r>
        <w:lastRenderedPageBreak/>
        <w:t>Deze bijdrage onder</w:t>
      </w:r>
      <w:r>
        <w:t xml:space="preserve">zoekt van boer tot bord in welke mate de relevante consumenten- en levensmiddelenwetgeving de consument (niet) ondersteunt, stimuleert en beschermt bij het maken van duurzame voedingskeuzes. In de </w:t>
      </w:r>
      <w:r>
        <w:rPr>
          <w:i/>
        </w:rPr>
        <w:t xml:space="preserve">productiefase </w:t>
      </w:r>
      <w:r>
        <w:t>wordt bekeken welke milieuvervuilende praktij</w:t>
      </w:r>
      <w:r>
        <w:t xml:space="preserve">ken reeds aan banden worden gelegd of worden ontmoedigd, voor de levensmiddelen in de winkelschappen terechtkomen. In de </w:t>
      </w:r>
      <w:r>
        <w:rPr>
          <w:i/>
        </w:rPr>
        <w:t>distributiefase</w:t>
      </w:r>
      <w:r>
        <w:t xml:space="preserve"> komen de hinderpalen bij het opstellen van verplichte duurzaamheidsetikettering in de voedingssector aan bod, alsook de</w:t>
      </w:r>
      <w:r>
        <w:rPr>
          <w:color w:val="FF0000"/>
        </w:rPr>
        <w:t xml:space="preserve"> </w:t>
      </w:r>
      <w:r>
        <w:t xml:space="preserve">cumulatie van private duurzaamheidskeurmerken die deze leemte opvullen. Eveneens wordt onderzocht of andere soorten etikettering, zoals het </w:t>
      </w:r>
      <w:proofErr w:type="spellStart"/>
      <w:r>
        <w:t>biolabel</w:t>
      </w:r>
      <w:proofErr w:type="spellEnd"/>
      <w:r>
        <w:t>, beschermde geografische aanduidingen of herkomstetikettering, de consument kunnen ondersteunen bij het ma</w:t>
      </w:r>
      <w:r>
        <w:t xml:space="preserve">ken van ecologisch verantwoorde keuzes. Verder wordt de regelgeving omtrent alternatieve verkoopkanalen (bijvoorbeeld directe verkoop) onder de loep genomen. Tot slot wordt in de </w:t>
      </w:r>
      <w:r>
        <w:rPr>
          <w:i/>
        </w:rPr>
        <w:t xml:space="preserve">consumptiefase </w:t>
      </w:r>
      <w:r>
        <w:t>onderzocht of de huidige regelgeving voedselverspilling voldoe</w:t>
      </w:r>
      <w:r>
        <w:t>nde tegengaat.</w:t>
      </w:r>
      <w:bookmarkStart w:id="0" w:name="_GoBack"/>
      <w:bookmarkEnd w:id="0"/>
    </w:p>
    <w:sectPr w:rsidR="009355A5">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A5"/>
    <w:rsid w:val="002630FE"/>
    <w:rsid w:val="009355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4E26"/>
  <w15:docId w15:val="{81CC3383-521F-41EE-BACD-1D7DA2EE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0">
    <w:name w:val="Normal1"/>
  </w:style>
  <w:style w:type="table" w:customStyle="1" w:styleId="TableNormal1">
    <w:name w:val="Table Normal1"/>
    <w:tblPr>
      <w:tblCellMar>
        <w:top w:w="0" w:type="dxa"/>
        <w:left w:w="0" w:type="dxa"/>
        <w:bottom w:w="0" w:type="dxa"/>
        <w:right w:w="0" w:type="dxa"/>
      </w:tblCellMar>
    </w:tblPr>
  </w:style>
  <w:style w:type="paragraph" w:customStyle="1" w:styleId="Normal1">
    <w:name w:val="Normal1"/>
  </w:style>
  <w:style w:type="table" w:customStyle="1" w:styleId="TableNormal10">
    <w:name w:val="Table Normal1"/>
    <w:tblPr>
      <w:tblCellMar>
        <w:top w:w="0" w:type="dxa"/>
        <w:left w:w="0" w:type="dxa"/>
        <w:bottom w:w="0" w:type="dxa"/>
        <w:right w:w="0" w:type="dxa"/>
      </w:tblCellMar>
    </w:tblPr>
  </w:style>
  <w:style w:type="table" w:styleId="TableGrid">
    <w:name w:val="Table Grid"/>
    <w:basedOn w:val="TableNormal"/>
    <w:uiPriority w:val="59"/>
    <w:rsid w:val="00DB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character" w:styleId="Strong">
    <w:name w:val="Strong"/>
    <w:basedOn w:val="DefaultParagraphFont"/>
    <w:uiPriority w:val="22"/>
    <w:qFormat/>
    <w:rsid w:val="00E467F7"/>
    <w:rPr>
      <w:b/>
      <w:bCs/>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WXgGG4ZG1phLLHvHcOE06i2NQ==">AMUW2mU/9aZNF3plgLdhHF6tOyNNrg/PURaHcJ9CNSynVRe6JToV24XFnRIohFqEyA7iMtM6CrbQ0Ty7ao+Uf3Rrl3jeY+3vEp2k+vyzdup4axgMJuJF6s7UxQGnrNHHbU27txxro577qD+c+gRCFGiOmx/BQG7oSOsu2QXYpbaEredc4sTTmQEo3CZLauv0S0/LynMJDsq6buyX+dIQEBL1NE23rMx4tYfgHzX7NYtUUC8YuXkurgnBbWQ8Z4YgAceaZ3brOAjFQjMNPKmncaEukKTQ/3FnD01w7IgjJjOhSLbeoEPs6VgEEFj05yccKxscmHrmEu1dV8ERtGQljx0jq3YI9KSyDmyMs6ngh8L2zABKSDM5o6LJByxy05Wv674SxHxnNhr6HsZzWQTHUJetkBInNfOZFr8XCx0Uv8xJHCPbkUVxo9hHcHqMTHEXlxQ2KAr8HQWlQJwIEtt91wY/yFHLLsk0Ti+hL811Ijn+Z7+LBK8x287lHWwuoFTH1NTYued3KiBe5cPH2go9QAVZI3ycKOxNqK6fZgN1ljyUkMEiVyYljadb3WdDL5vdm10JXKcBChf2ui221G7OgWxDPB1vOdPj4kReD9bzrWFiynNTQV8LOmwywQPB6jun9D1dPPPt5m79OBIIg0PRDVAqjL3h01oUYyWlOst3duXmw6TbueLDM4KJga5iCGLce0jQI1R/+JQ5wtrrnHcjbwuPO0OGFnlexVzG1fzBC2CchM57onXLbEz1ds+H5zbrl0/bFzrCP54numO/FSZQB1xVROppnnbHz30yL30yUd6yjfZPUYjf+opYJwTM62srLlSx7db/T0TS+U2US4ehp86obTEQbwr81a56LaUo7lEa7NzPjGzxp6ECJhEaTgUCZYwuXcGoTJbSiMe7v5KYZRM67cyXvkheFE8i753Tp6GEXXjcI5+f4+0UINl5YdfVh7wI5Qn77E3hmJyaMizijp3uYYkgKzUPI7BMeFLywP2vtMtGCgLacITIQCjZpaED1NH+JpOtd5FBFPRjpvboFbTXWRN8jTB1hAPQVc0XhvzezCpUUZxo43crcdauYmzyAfrHikpraGieHyx8zygKBJO7y71Nq9S7gbKIbbEUFNalO+H+MkOr2PT0mjpCAPmaQ0exiXpv/y0sbRhSlJJoGz7R/leb73xT/LamJmBKMFd0TO5PTh3/1PhY2htkw6OFQfsNvLMhiELPH0JPY5vJQR2LKWY3qIvPxgYZZrUBNtfKNnmNyfF5e/QZ4ejdE3t2UtWa/j0D4ZoiMT9hOt+CYmA1xDNgBFq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4006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Verheye</dc:creator>
  <cp:lastModifiedBy>Windows User</cp:lastModifiedBy>
  <cp:revision>2</cp:revision>
  <dcterms:created xsi:type="dcterms:W3CDTF">2021-03-08T13:04:00Z</dcterms:created>
  <dcterms:modified xsi:type="dcterms:W3CDTF">2021-03-08T13:04:00Z</dcterms:modified>
</cp:coreProperties>
</file>