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4634E" w:rsidP="00466248">
      <w:pPr>
        <w:spacing w:after="120" w:line="360" w:lineRule="auto"/>
        <w:jc w:val="center"/>
        <w:rPr>
          <w:b/>
        </w:rPr>
      </w:pPr>
      <w:r>
        <w:rPr>
          <w:b/>
        </w:rPr>
        <w:t>ABSTRACTS</w:t>
      </w:r>
    </w:p>
    <w:p w:rsidR="003A0C47" w:rsidRDefault="0024634E">
      <w:pPr>
        <w:spacing w:after="120" w:line="360" w:lineRule="auto"/>
        <w:jc w:val="both"/>
        <w:rPr>
          <w:i/>
        </w:rPr>
      </w:pPr>
      <w:bookmarkStart w:id="0" w:name="_heading=h.2owxckoq1g7a" w:colFirst="0" w:colLast="0"/>
      <w:bookmarkEnd w:id="0"/>
      <w:r>
        <w:rPr>
          <w:i/>
        </w:rPr>
        <w:t>Plenaire sessie</w:t>
      </w:r>
    </w:p>
    <w:p w:rsidR="003A0C47" w:rsidRDefault="0024634E">
      <w:pPr>
        <w:spacing w:before="240" w:after="240" w:line="360" w:lineRule="auto"/>
        <w:rPr>
          <w:b/>
        </w:rPr>
      </w:pPr>
      <w:r>
        <w:rPr>
          <w:b/>
        </w:rPr>
        <w:t>Sjef van Erp</w:t>
      </w:r>
    </w:p>
    <w:p w:rsidR="003A0C47" w:rsidRDefault="0024634E">
      <w:pPr>
        <w:spacing w:before="240" w:after="240" w:line="360" w:lineRule="auto"/>
        <w:rPr>
          <w:b/>
          <w:i/>
        </w:rPr>
      </w:pPr>
      <w:bookmarkStart w:id="1" w:name="_heading=h.4pwjqc3rmwm0" w:colFirst="0" w:colLast="0"/>
      <w:bookmarkEnd w:id="1"/>
      <w:r>
        <w:rPr>
          <w:b/>
          <w:i/>
        </w:rPr>
        <w:t xml:space="preserve">Kan privaatrecht faciliteren dat </w:t>
      </w:r>
      <w:proofErr w:type="gramStart"/>
      <w:r>
        <w:rPr>
          <w:b/>
          <w:i/>
        </w:rPr>
        <w:t>IT duurzaamheid</w:t>
      </w:r>
      <w:proofErr w:type="gramEnd"/>
      <w:r>
        <w:rPr>
          <w:b/>
          <w:i/>
        </w:rPr>
        <w:t xml:space="preserve"> bevordert?</w:t>
      </w:r>
    </w:p>
    <w:p w:rsidR="003A0C47" w:rsidRDefault="0024634E">
      <w:pPr>
        <w:spacing w:before="240" w:after="240" w:line="360" w:lineRule="auto"/>
        <w:jc w:val="both"/>
      </w:pPr>
      <w:bookmarkStart w:id="2" w:name="_heading=h.3590nodcfd1l" w:colFirst="0" w:colLast="0"/>
      <w:bookmarkStart w:id="3" w:name="_GoBack"/>
      <w:bookmarkEnd w:id="2"/>
      <w:bookmarkEnd w:id="3"/>
      <w:r>
        <w:t xml:space="preserve">Heel vaak worden de invloed van IT op onze samenleving en de noodzaak om een duurzame wereld te creëren vanwege een veranderend klimaat gezien als tamelijk gescheiden vragen of zelfs kwesties waarbij IT en duurzaamheid beschouwd worden als aan elkaar tegengesteld. Gescheiden, omdat IT onze virtuele werkelijkheid betreft en duurzaamheid onze fysieke werkelijkheid, tegengesteld omdat bepaalde IT-ontwikkelingen steeds meer </w:t>
      </w:r>
      <w:proofErr w:type="gramStart"/>
      <w:r>
        <w:t>energie vragen</w:t>
      </w:r>
      <w:proofErr w:type="gramEnd"/>
      <w:r>
        <w:t xml:space="preserve"> en dus ontwikkelingen zijn waar kritisch naar gekeken moet worden. De virtuele en de reële wereld bevinden zich echter in een proces van versmelting, waarbij onze waarneming van de virtuele en de fysieke werkelijkheid één mentaal proces worden. De resulterende hybride wereld is te zien als we kijken naar wat er in onze economie gebeurt. Naast onze fysieke (&amp;</w:t>
      </w:r>
      <w:proofErr w:type="spellStart"/>
      <w:proofErr w:type="gramStart"/>
      <w:r>
        <w:t>quot;echte</w:t>
      </w:r>
      <w:proofErr w:type="gramEnd"/>
      <w:r>
        <w:t>&amp;quot</w:t>
      </w:r>
      <w:proofErr w:type="spellEnd"/>
      <w:r>
        <w:t>;) economie hebben we nu ook een &amp;</w:t>
      </w:r>
      <w:proofErr w:type="spellStart"/>
      <w:r>
        <w:t>quot;virtuele&amp;quot</w:t>
      </w:r>
      <w:proofErr w:type="spellEnd"/>
      <w:r>
        <w:t xml:space="preserve">; economie. Tegelijkertijd valt ook niet te ontkennen dat in deze hybride wereld bepaalde IT-ontwikkelingen alleen mogelijk zijn met een steeds groter beroep op onze beperkte energiebronnen en dus een negatieve invloed hebben op onze reële wereld. Voorbeelden hiervan zijn het gebruik van Distributed </w:t>
      </w:r>
      <w:proofErr w:type="spellStart"/>
      <w:r>
        <w:t>Ledger</w:t>
      </w:r>
      <w:proofErr w:type="spellEnd"/>
      <w:r>
        <w:t xml:space="preserve"> Technology (schoolvoorbeeld: </w:t>
      </w:r>
      <w:proofErr w:type="spellStart"/>
      <w:r>
        <w:t>blockchains</w:t>
      </w:r>
      <w:proofErr w:type="spellEnd"/>
      <w:r>
        <w:t xml:space="preserve">), het toenemende gebruik van mega datacenters en de snelle groei van met internet verbonden apparaten (zoals computers, mobiele telefoons en het ‘Internet of </w:t>
      </w:r>
      <w:proofErr w:type="spellStart"/>
      <w:r>
        <w:t>Things</w:t>
      </w:r>
      <w:proofErr w:type="spellEnd"/>
      <w:r>
        <w:t xml:space="preserve">’). </w:t>
      </w:r>
    </w:p>
    <w:p w:rsidR="003A0C47" w:rsidRDefault="0024634E">
      <w:pPr>
        <w:spacing w:before="240" w:after="240" w:line="360" w:lineRule="auto"/>
        <w:jc w:val="both"/>
      </w:pPr>
      <w:bookmarkStart w:id="4" w:name="_heading=h.xe22pbos2xkk" w:colFirst="0" w:colLast="0"/>
      <w:bookmarkEnd w:id="4"/>
      <w:r>
        <w:t xml:space="preserve">Kunnen IT-ontwikkelingen echter worden omgevormd tot instrumenten die de totstandbrenging van een duurzame wereld ondersteunen en op welke manier kan het recht, meer bepaald het privaatrecht, dit faciliteren? Blockchain-technologie kan kleine projecten voor het delen van gegevens ondersteunen, zoals door middel van een eerlijke verdeling van de kosten en baten van elektriciteit lokaal geproduceerd door zonnepanelen of door het gemeenschappelijk gebruik van bijvoorbeeld een auto. Gegevensverzameling door allerlei sensoren helpt ons te begrijpen welke veranderingen zich voordoen met betrekking tot het weer en ons klimaat, maar wie heeft recht op deze gegevens en kan het delen van gegevens verplicht worden gesteld, bijvoorbeeld in het </w:t>
      </w:r>
      <w:r>
        <w:lastRenderedPageBreak/>
        <w:t xml:space="preserve">algemeen belang? Is een dergelijke uitwisseling van gegevens een eigendomsrechtelijk of een verbintenisrechtelijk probleem, of is het allebei, en is het privaatrecht zoals we dat vandaag kennen voldoende ontwikkeld voor een dergelijke taak? Verplichte gegevensuitwisseling heeft in ieder geval een gemengd publiek- en privaatrechtelijk karakter, aangezien er hoogstwaarschijnlijk dwingende contracten, zoals licenties, voor nodig zullen zijn. Zulke licenties kunnen kettingbedingen bevatten die opvolgende gebruikers van de data dezelfde verplichtingen opleggen als de eerste licentiehouder, waardoor </w:t>
      </w:r>
      <w:proofErr w:type="spellStart"/>
      <w:r>
        <w:t>derdenwerking</w:t>
      </w:r>
      <w:proofErr w:type="spellEnd"/>
      <w:r>
        <w:t xml:space="preserve"> van contractsbepalingen ontstaat met een quasi-goederenrechtelijk effect. </w:t>
      </w:r>
    </w:p>
    <w:p w:rsidR="003A0C47" w:rsidRDefault="0024634E">
      <w:pPr>
        <w:spacing w:before="240" w:after="240" w:line="360" w:lineRule="auto"/>
        <w:jc w:val="both"/>
      </w:pPr>
      <w:bookmarkStart w:id="5" w:name="_heading=h.yp4w93w5kk9z" w:colFirst="0" w:colLast="0"/>
      <w:bookmarkEnd w:id="5"/>
      <w:r>
        <w:t>In deze bijdrage zullen de verschillende IT-ontwikkelingen worden beschreven en geanalyseerd vanuit het oogpunt van de noodzaak om duurzaamheid te bevorderen, waarbij de nadruk ligt op het zich ontwikkelende privaatrechtelijk kader dat moet bestaan om dit te vergemakkelijken.</w:t>
      </w:r>
    </w:p>
    <w:p w:rsidR="003A0C47" w:rsidRDefault="003A0C47">
      <w:pPr>
        <w:spacing w:after="120" w:line="360" w:lineRule="auto"/>
        <w:jc w:val="both"/>
        <w:rPr>
          <w:b/>
        </w:rPr>
      </w:pPr>
      <w:bookmarkStart w:id="6" w:name="_heading=h.7sq8l5jc91dy" w:colFirst="0" w:colLast="0"/>
      <w:bookmarkEnd w:id="6"/>
    </w:p>
    <w:p w:rsidR="003A0C47" w:rsidRDefault="0024634E">
      <w:pPr>
        <w:spacing w:after="120" w:line="360" w:lineRule="auto"/>
        <w:jc w:val="both"/>
        <w:rPr>
          <w:b/>
        </w:rPr>
      </w:pPr>
      <w:bookmarkStart w:id="7" w:name="_heading=h.19s3khb3rbl" w:colFirst="0" w:colLast="0"/>
      <w:bookmarkEnd w:id="7"/>
      <w:r>
        <w:rPr>
          <w:b/>
        </w:rPr>
        <w:t xml:space="preserve">Edwin Woerdman </w:t>
      </w:r>
    </w:p>
    <w:p w:rsidR="003A0C47" w:rsidRDefault="0024634E">
      <w:pPr>
        <w:spacing w:after="120" w:line="360" w:lineRule="auto"/>
        <w:jc w:val="both"/>
        <w:rPr>
          <w:b/>
          <w:i/>
        </w:rPr>
      </w:pPr>
      <w:bookmarkStart w:id="8" w:name="_heading=h.43i533xk9247" w:colFirst="0" w:colLast="0"/>
      <w:bookmarkEnd w:id="8"/>
      <w:r>
        <w:rPr>
          <w:b/>
          <w:i/>
        </w:rPr>
        <w:t>CO2-beprijzing en duurzaamheid</w:t>
      </w:r>
    </w:p>
    <w:p w:rsidR="003A0C47" w:rsidRDefault="0024634E">
      <w:pPr>
        <w:spacing w:after="120" w:line="360" w:lineRule="auto"/>
        <w:jc w:val="both"/>
      </w:pPr>
      <w:bookmarkStart w:id="9" w:name="_heading=h.536glb8zxlrc" w:colFirst="0" w:colLast="0"/>
      <w:bookmarkEnd w:id="9"/>
      <w:r>
        <w:t xml:space="preserve">In de media wordt meestal verheugd gereageerd als de CO2-prijs omhoog gaat. Denk aan de huidige prijsstijging van verhandelbare emissierechten, hét Europese instrument om CO2 te beprijzen, of aan de recente invoering van een extra CO2-heffing in Nederland. Hoe duurder het vervuilende product, hoe duurzamer uiteindelijk de samenleving, zo is het idee. Een stijgende CO2-prijs betekent immers een sterkere prikkel voor elektriciteitsbedrijven, de industrie en de luchtvaartsector om hun uitstoot van broeikasgassen te verminderen. In de basis klopt deze economische theorie, maar door de institutionele vormgeving van CO2-beleid in Europa wordt hiermee slechts een halve waarheid verkondigd. Voornoemde redenering geeft namelijk blijk van onvoldoende rechtseconomisch inzicht in het doel en in de werking van emissiehandel. Het is belangrijk dit te doorgronden, ook omdat de Europese Commissie het emissiehandelssysteem wil uitbreiden, eerst naar de scheepvaart en mogelijk naar het wegvervoer en zelfs de gebouwde omgeving. Grote en kleine energieverbruikers krijgen zo steeds vaker te maken, direct of indirect, met de marktprijs van CO2, van energierekening tot </w:t>
      </w:r>
      <w:r>
        <w:lastRenderedPageBreak/>
        <w:t>benzinepomp. Geldt hierbij: hoe hoger de CO2-prijs, hoe duurzamer de consument? Of moeten we als samenleving juist blij zijn met een lage CO2-prijs?</w:t>
      </w:r>
    </w:p>
    <w:sectPr w:rsidR="003A0C4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24634E"/>
    <w:rsid w:val="003A0C47"/>
    <w:rsid w:val="0046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2021-03-08T13:21:00Z</dcterms:created>
  <dcterms:modified xsi:type="dcterms:W3CDTF">2021-03-08T13:21:00Z</dcterms:modified>
</cp:coreProperties>
</file>