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Pr="00C60D63" w:rsidRDefault="00C60D63" w:rsidP="00C60D63">
      <w:pPr>
        <w:spacing w:after="120" w:line="360" w:lineRule="auto"/>
        <w:jc w:val="center"/>
        <w:rPr>
          <w:b/>
        </w:rPr>
      </w:pPr>
      <w:r w:rsidRPr="00C60D63">
        <w:rPr>
          <w:b/>
        </w:rPr>
        <w:t>ABSTRACTS</w:t>
      </w:r>
    </w:p>
    <w:p w:rsidR="00C60D63" w:rsidRDefault="00C60D63">
      <w:pPr>
        <w:spacing w:after="120" w:line="360" w:lineRule="auto"/>
        <w:jc w:val="both"/>
        <w:rPr>
          <w:i/>
        </w:rPr>
      </w:pPr>
    </w:p>
    <w:p w:rsidR="003A0C47" w:rsidRDefault="0024634E">
      <w:pPr>
        <w:spacing w:after="120" w:line="360" w:lineRule="auto"/>
        <w:jc w:val="both"/>
      </w:pPr>
      <w:r>
        <w:rPr>
          <w:i/>
        </w:rPr>
        <w:t>Duurzame financiering en zekerheden</w:t>
      </w:r>
    </w:p>
    <w:p w:rsidR="003A0C47" w:rsidRDefault="0024634E">
      <w:pPr>
        <w:spacing w:after="120" w:line="360" w:lineRule="auto"/>
        <w:jc w:val="both"/>
      </w:pPr>
      <w:proofErr w:type="spellStart"/>
      <w:r>
        <w:rPr>
          <w:b/>
        </w:rPr>
        <w:t>Reghard</w:t>
      </w:r>
      <w:proofErr w:type="spellEnd"/>
      <w:r>
        <w:rPr>
          <w:b/>
        </w:rPr>
        <w:t xml:space="preserve"> Brits (Universiteit van Pretoria) </w:t>
      </w:r>
      <w:r>
        <w:t>spreekt over duurzame kredietverlening bij de aankoop van een woning. De Zuid-Afrikaanse Kredietwet onderwerpt de toekenning van een krediet aan bepaalde voorwaarden. De Kredietwet sanctioneert banken die een krediet toekennen zonder de kredietwaardigheid van de koper te onderzoeken. Daarnaast wordt, zelfs buiten de hypothese van een onterecht toegekend krediet, de koper de mogelijkheid geboden zijn schulden te verlichten door middel van een schuldherzieningsprocedure. Een duurzame kredietverlening heeft een directe impact op de duurzaamheid van het eigendomsrecht. Het is van belang dat de eigenaar in de mogelijkheid verkeert zijn eigendomsrecht te bekostigen.</w:t>
      </w:r>
    </w:p>
    <w:p w:rsidR="003A0C47" w:rsidRDefault="0024634E">
      <w:pPr>
        <w:spacing w:after="120" w:line="360" w:lineRule="auto"/>
        <w:jc w:val="both"/>
      </w:pPr>
      <w:r>
        <w:rPr>
          <w:b/>
        </w:rPr>
        <w:t xml:space="preserve">Arnaud Van </w:t>
      </w:r>
      <w:proofErr w:type="spellStart"/>
      <w:r>
        <w:rPr>
          <w:b/>
        </w:rPr>
        <w:t>Caenegem</w:t>
      </w:r>
      <w:proofErr w:type="spellEnd"/>
      <w:r>
        <w:rPr>
          <w:b/>
        </w:rPr>
        <w:t xml:space="preserve"> (KU Leuven)</w:t>
      </w:r>
      <w:r>
        <w:t xml:space="preserve"> gaat dieper in op de doorwerking van het duurzaamheidsconcept in de financiële sector. De Europese Commissie heeft in een actieplan van 2018 een hervormingsbeleid aangekondigd dat tot doel heeft de financiële sector te laten bijdragen aan een duurzamere economie en haar weerbaarder te maken tegen de risico’s die ontstaan door klimaatverandering, degradatie van het milieu en sociale uitdagingen. Er wordt specifiek aandacht besteed aan de Taxonomieverordening en de Informatieverschaffingsverordening. De eerste verordening handelt over de juridische kwalificatie van een ‘duurzame economische activiteit’, terwijl transparantie over duurzaamheidsinformatie naar beleggers in de tweede verordening centraal staat. Er wordt tevens vooruitgeblikt op de verdere ontwikkeling van het regelgevend kader om duurzaamheid in de financiële sector te promoten.</w:t>
      </w:r>
    </w:p>
    <w:p w:rsidR="003A0C47" w:rsidRDefault="0024634E">
      <w:pPr>
        <w:spacing w:after="120" w:line="360" w:lineRule="auto"/>
        <w:jc w:val="both"/>
      </w:pPr>
      <w:r>
        <w:rPr>
          <w:b/>
        </w:rPr>
        <w:t xml:space="preserve">Sander </w:t>
      </w:r>
      <w:proofErr w:type="spellStart"/>
      <w:r>
        <w:rPr>
          <w:b/>
        </w:rPr>
        <w:t>Baeyens</w:t>
      </w:r>
      <w:proofErr w:type="spellEnd"/>
      <w:r>
        <w:rPr>
          <w:b/>
        </w:rPr>
        <w:t xml:space="preserve"> (KU Leuven)</w:t>
      </w:r>
      <w:r>
        <w:t xml:space="preserve"> bespreekt de opmars van maatschappelijke belangen in het insolventierecht. Het insolventierecht staat traditioneel in het teken van </w:t>
      </w:r>
      <w:proofErr w:type="spellStart"/>
      <w:r>
        <w:t>waardemaximalisatie</w:t>
      </w:r>
      <w:proofErr w:type="spellEnd"/>
      <w:r>
        <w:t xml:space="preserve">. Waardemaximalisatie lijkt op het eerste gezicht niet altijd te verzoenen met duurzaamheid. De vraag is of het duurzaamheidsconcept ingang vindt in het insolventierecht en hoe de systematiek van het insolventierecht moet omspringen met belangen die het streven naar </w:t>
      </w:r>
      <w:proofErr w:type="spellStart"/>
      <w:r>
        <w:t>waardemaximalisatie</w:t>
      </w:r>
      <w:proofErr w:type="spellEnd"/>
      <w:r>
        <w:t xml:space="preserve"> fnuiken.</w:t>
      </w:r>
    </w:p>
    <w:p w:rsidR="003A0C47" w:rsidRDefault="0024634E">
      <w:pPr>
        <w:spacing w:after="120" w:line="360" w:lineRule="auto"/>
        <w:jc w:val="both"/>
      </w:pPr>
      <w:bookmarkStart w:id="0" w:name="_heading=h.1fob9te" w:colFirst="0" w:colLast="0"/>
      <w:bookmarkEnd w:id="0"/>
      <w:r>
        <w:rPr>
          <w:b/>
        </w:rPr>
        <w:t xml:space="preserve">Minke </w:t>
      </w:r>
      <w:proofErr w:type="spellStart"/>
      <w:r>
        <w:rPr>
          <w:b/>
        </w:rPr>
        <w:t>Reijneveld</w:t>
      </w:r>
      <w:proofErr w:type="spellEnd"/>
      <w:r>
        <w:rPr>
          <w:b/>
        </w:rPr>
        <w:t xml:space="preserve"> (RU Nijmegen)</w:t>
      </w:r>
      <w:r>
        <w:t xml:space="preserve"> neemt het spanningsveld tussen de taak van de curator en de Algemene Verordening Gegevensbescherming onder de loep. De curator </w:t>
      </w:r>
      <w:r>
        <w:lastRenderedPageBreak/>
        <w:t>verwerkt in vrijwel ieder faillissement persoonsgegevens. Dit gebeurt bijvoorbeeld als de curator de administratie onder zich neemt, een klantenbestand doorzoekt of contact opneemt met schuldeisers. De vraag die hierbij ontstaat is op welke manier de curator zijn taak in overeenstemming met de verordening kan uitvoeren. Een Nederlands wetsvoorstel heeft deze vraag van een antwoord voorzien. Het wetsvoorstel wordt in deze presentatie kritisch besproken.</w:t>
      </w:r>
    </w:p>
    <w:p w:rsidR="003A0C47" w:rsidRDefault="003A0C47">
      <w:pPr>
        <w:spacing w:before="120" w:after="120" w:line="360" w:lineRule="auto"/>
        <w:jc w:val="both"/>
        <w:rPr>
          <w:rFonts w:ascii="Arial" w:eastAsia="Arial" w:hAnsi="Arial" w:cs="Arial"/>
          <w:b/>
        </w:rPr>
      </w:pPr>
      <w:bookmarkStart w:id="1" w:name="_GoBack"/>
      <w:bookmarkEnd w:id="1"/>
    </w:p>
    <w:sectPr w:rsidR="003A0C4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24634E"/>
    <w:rsid w:val="003A0C47"/>
    <w:rsid w:val="00C60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4871"/>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2021-03-08T13:16:00Z</dcterms:created>
  <dcterms:modified xsi:type="dcterms:W3CDTF">2021-03-08T13:16:00Z</dcterms:modified>
</cp:coreProperties>
</file>