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FE" w:rsidRPr="00F85B09" w:rsidRDefault="00B34933" w:rsidP="00F85B09">
      <w:pPr>
        <w:spacing w:after="0" w:line="360" w:lineRule="auto"/>
        <w:contextualSpacing/>
        <w:jc w:val="center"/>
        <w:rPr>
          <w:b/>
          <w:sz w:val="32"/>
          <w:lang w:val="en-GB" w:eastAsia="en-GB"/>
        </w:rPr>
      </w:pPr>
      <w:r w:rsidRPr="00F85B09">
        <w:rPr>
          <w:b/>
          <w:sz w:val="32"/>
          <w:lang w:val="en-GB" w:eastAsia="en-GB"/>
        </w:rPr>
        <w:t xml:space="preserve">UM Diversity &amp; Inclusivity Grants </w:t>
      </w:r>
    </w:p>
    <w:p w:rsidR="004C2CFE" w:rsidRDefault="004C2CFE" w:rsidP="00F85B09">
      <w:pPr>
        <w:spacing w:after="0"/>
        <w:rPr>
          <w:lang w:val="en-GB"/>
        </w:rPr>
      </w:pPr>
    </w:p>
    <w:p w:rsidR="00F85B09" w:rsidRDefault="00F85B09" w:rsidP="00F85B09">
      <w:pPr>
        <w:spacing w:after="0"/>
        <w:rPr>
          <w:sz w:val="24"/>
          <w:u w:val="single"/>
          <w:lang w:val="en-GB"/>
        </w:rPr>
      </w:pPr>
    </w:p>
    <w:p w:rsidR="004C2CFE" w:rsidRDefault="00B34933" w:rsidP="00F85B09">
      <w:pPr>
        <w:spacing w:after="0"/>
        <w:rPr>
          <w:sz w:val="24"/>
          <w:u w:val="single"/>
          <w:lang w:val="en-GB"/>
        </w:rPr>
      </w:pPr>
      <w:bookmarkStart w:id="0" w:name="_GoBack"/>
      <w:bookmarkEnd w:id="0"/>
      <w:r>
        <w:rPr>
          <w:sz w:val="24"/>
          <w:u w:val="single"/>
          <w:lang w:val="en-GB"/>
        </w:rPr>
        <w:t>FUNDING CRITERIA</w:t>
      </w:r>
    </w:p>
    <w:p w:rsidR="00F85B09" w:rsidRDefault="00F85B09" w:rsidP="00F85B09">
      <w:pPr>
        <w:spacing w:after="0"/>
        <w:rPr>
          <w:lang w:val="en-GB"/>
        </w:rPr>
      </w:pPr>
    </w:p>
    <w:p w:rsidR="004C2CFE" w:rsidRDefault="00B34933" w:rsidP="00F85B09">
      <w:pPr>
        <w:spacing w:after="0"/>
        <w:rPr>
          <w:lang w:val="en-GB"/>
        </w:rPr>
      </w:pPr>
      <w:r>
        <w:rPr>
          <w:lang w:val="en-GB"/>
        </w:rPr>
        <w:t xml:space="preserve">Funding </w:t>
      </w:r>
      <w:proofErr w:type="gramStart"/>
      <w:r>
        <w:rPr>
          <w:lang w:val="en-GB"/>
        </w:rPr>
        <w:t>shall not be granted</w:t>
      </w:r>
      <w:proofErr w:type="gramEnd"/>
      <w:r>
        <w:rPr>
          <w:lang w:val="en-GB"/>
        </w:rPr>
        <w:t xml:space="preserve"> for pre-planned or existing activities. Funding </w:t>
      </w:r>
      <w:proofErr w:type="gramStart"/>
      <w:r>
        <w:rPr>
          <w:lang w:val="en-GB"/>
        </w:rPr>
        <w:t>may only be used</w:t>
      </w:r>
      <w:proofErr w:type="gramEnd"/>
      <w:r>
        <w:rPr>
          <w:lang w:val="en-GB"/>
        </w:rPr>
        <w:t xml:space="preserve"> for expenses related to the proposal. Changes to the eligible budget during the funding period </w:t>
      </w:r>
      <w:proofErr w:type="gramStart"/>
      <w:r>
        <w:rPr>
          <w:lang w:val="en-GB"/>
        </w:rPr>
        <w:t>may only be made</w:t>
      </w:r>
      <w:proofErr w:type="gramEnd"/>
      <w:r>
        <w:rPr>
          <w:lang w:val="en-GB"/>
        </w:rPr>
        <w:t xml:space="preserve"> after prior approval of the D&amp;I Office.</w:t>
      </w:r>
    </w:p>
    <w:p w:rsidR="00F85B09" w:rsidRDefault="00F85B09" w:rsidP="00F85B09">
      <w:pPr>
        <w:spacing w:after="0"/>
        <w:rPr>
          <w:lang w:val="en-US"/>
        </w:rPr>
      </w:pPr>
    </w:p>
    <w:p w:rsidR="004C2CFE" w:rsidRDefault="00B34933" w:rsidP="00F85B09">
      <w:pPr>
        <w:spacing w:after="0"/>
        <w:rPr>
          <w:sz w:val="20"/>
          <w:lang w:val="en-US"/>
        </w:rPr>
      </w:pPr>
      <w:r>
        <w:rPr>
          <w:lang w:val="en-US"/>
        </w:rPr>
        <w:t xml:space="preserve">Each project must assign a member who will be mainly responsible for budget and finance issues; this person must be a </w:t>
      </w:r>
      <w:r w:rsidRPr="00F85B09">
        <w:rPr>
          <w:b/>
          <w:lang w:val="en-US"/>
        </w:rPr>
        <w:t>UM staff member</w:t>
      </w:r>
      <w:r>
        <w:rPr>
          <w:lang w:val="en-US"/>
        </w:rPr>
        <w:t xml:space="preserve">. </w:t>
      </w:r>
    </w:p>
    <w:p w:rsidR="00F85B09" w:rsidRDefault="00F85B09" w:rsidP="00F85B09">
      <w:pPr>
        <w:spacing w:after="0"/>
        <w:rPr>
          <w:sz w:val="24"/>
          <w:u w:val="single"/>
          <w:lang w:val="en-GB"/>
        </w:rPr>
      </w:pPr>
    </w:p>
    <w:p w:rsidR="004C2CFE" w:rsidRPr="00787C26" w:rsidRDefault="00787C26" w:rsidP="00F85B09">
      <w:pPr>
        <w:spacing w:after="0"/>
        <w:rPr>
          <w:sz w:val="24"/>
          <w:u w:val="single"/>
          <w:lang w:val="en-GB"/>
        </w:rPr>
      </w:pPr>
      <w:r w:rsidRPr="00787C26">
        <w:rPr>
          <w:sz w:val="24"/>
          <w:u w:val="single"/>
          <w:lang w:val="en-GB"/>
        </w:rPr>
        <w:t>ELIGIBLE COSTS AND EXPENSES</w:t>
      </w:r>
    </w:p>
    <w:p w:rsidR="00F85B09" w:rsidRDefault="00F85B09" w:rsidP="00F85B09">
      <w:pPr>
        <w:spacing w:after="0"/>
        <w:rPr>
          <w:bCs/>
          <w:u w:val="single"/>
          <w:lang w:val="en-US"/>
        </w:rPr>
      </w:pPr>
    </w:p>
    <w:p w:rsidR="00787C26" w:rsidRDefault="00B34933" w:rsidP="00F85B09">
      <w:pPr>
        <w:spacing w:after="0"/>
        <w:rPr>
          <w:bCs/>
          <w:lang w:val="en-US"/>
        </w:rPr>
      </w:pPr>
      <w:r>
        <w:rPr>
          <w:bCs/>
          <w:u w:val="single"/>
          <w:lang w:val="en-US"/>
        </w:rPr>
        <w:t>Budget</w:t>
      </w:r>
      <w:r>
        <w:rPr>
          <w:bCs/>
          <w:lang w:val="en-US"/>
        </w:rPr>
        <w:t xml:space="preserve">: </w:t>
      </w:r>
    </w:p>
    <w:p w:rsidR="004C2CFE" w:rsidRDefault="00B34933" w:rsidP="00F85B09">
      <w:pPr>
        <w:spacing w:after="0"/>
        <w:rPr>
          <w:rFonts w:ascii="Calibri" w:hAnsi="Calibri"/>
          <w:lang w:val="en-US"/>
        </w:rPr>
      </w:pPr>
      <w:r>
        <w:rPr>
          <w:lang w:val="en-US"/>
        </w:rPr>
        <w:t xml:space="preserve">Grant </w:t>
      </w:r>
      <w:proofErr w:type="gramStart"/>
      <w:r>
        <w:rPr>
          <w:lang w:val="en-US"/>
        </w:rPr>
        <w:t>can be used</w:t>
      </w:r>
      <w:proofErr w:type="gramEnd"/>
      <w:r>
        <w:rPr>
          <w:lang w:val="en-US"/>
        </w:rPr>
        <w:t xml:space="preserve"> for:</w:t>
      </w:r>
    </w:p>
    <w:p w:rsidR="004C2CFE" w:rsidRDefault="00B34933" w:rsidP="00F85B09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100% of hours UM staff (at salary cost without surcharges)</w:t>
      </w:r>
    </w:p>
    <w:p w:rsidR="004C2CFE" w:rsidRDefault="00B34933" w:rsidP="00F85B09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100% of out-of-pocket costs (location,</w:t>
      </w:r>
      <w:r w:rsidR="00787C26">
        <w:rPr>
          <w:lang w:val="en-US"/>
        </w:rPr>
        <w:t xml:space="preserve"> printing costs,</w:t>
      </w:r>
      <w:r>
        <w:rPr>
          <w:lang w:val="en-US"/>
        </w:rPr>
        <w:t xml:space="preserve"> catering, reimbursement speakers, hiring a research/student assistants,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</w:t>
      </w:r>
    </w:p>
    <w:p w:rsidR="00F85B09" w:rsidRDefault="00F85B09" w:rsidP="00F85B09">
      <w:pPr>
        <w:spacing w:after="0"/>
        <w:rPr>
          <w:bCs/>
          <w:u w:val="single"/>
          <w:lang w:val="en-US"/>
        </w:rPr>
      </w:pPr>
    </w:p>
    <w:p w:rsidR="00787C26" w:rsidRDefault="00B34933" w:rsidP="00F85B09">
      <w:pPr>
        <w:spacing w:after="0"/>
        <w:rPr>
          <w:bCs/>
          <w:lang w:val="en-US"/>
        </w:rPr>
      </w:pPr>
      <w:r>
        <w:rPr>
          <w:bCs/>
          <w:u w:val="single"/>
          <w:lang w:val="en-US"/>
        </w:rPr>
        <w:t>Payment</w:t>
      </w:r>
      <w:r>
        <w:rPr>
          <w:bCs/>
          <w:lang w:val="en-US"/>
        </w:rPr>
        <w:t xml:space="preserve">: </w:t>
      </w:r>
    </w:p>
    <w:p w:rsidR="004C2CFE" w:rsidRDefault="00B34933" w:rsidP="00F85B09">
      <w:pPr>
        <w:spacing w:after="0"/>
        <w:rPr>
          <w:lang w:val="en-US"/>
        </w:rPr>
      </w:pPr>
      <w:r>
        <w:rPr>
          <w:lang w:val="en-US"/>
        </w:rPr>
        <w:t xml:space="preserve">Awarded grants will be transferred to the budget number of the main </w:t>
      </w:r>
      <w:proofErr w:type="gramStart"/>
      <w:r>
        <w:rPr>
          <w:lang w:val="en-US"/>
        </w:rPr>
        <w:t>applicant’s  department</w:t>
      </w:r>
      <w:proofErr w:type="gramEnd"/>
      <w:r>
        <w:rPr>
          <w:lang w:val="en-US"/>
        </w:rPr>
        <w:t xml:space="preserve"> or unit at the start of the project. It is necessary that the main applicant has a UM contract.</w:t>
      </w:r>
    </w:p>
    <w:p w:rsidR="00F85B09" w:rsidRDefault="00F85B09" w:rsidP="00F85B09">
      <w:pPr>
        <w:spacing w:after="0"/>
        <w:rPr>
          <w:u w:val="single"/>
          <w:lang w:val="en-US"/>
        </w:rPr>
      </w:pPr>
    </w:p>
    <w:p w:rsidR="00787C26" w:rsidRDefault="00B34933" w:rsidP="00F85B09">
      <w:pPr>
        <w:spacing w:after="0"/>
        <w:rPr>
          <w:lang w:val="en-US"/>
        </w:rPr>
      </w:pPr>
      <w:r>
        <w:rPr>
          <w:u w:val="single"/>
          <w:lang w:val="en-US"/>
        </w:rPr>
        <w:t>Budget report</w:t>
      </w:r>
      <w:r>
        <w:rPr>
          <w:lang w:val="en-US"/>
        </w:rPr>
        <w:t xml:space="preserve">: </w:t>
      </w:r>
    </w:p>
    <w:p w:rsidR="004C2CFE" w:rsidRDefault="00B34933" w:rsidP="00F85B09">
      <w:pPr>
        <w:spacing w:after="0"/>
        <w:rPr>
          <w:lang w:val="en-US"/>
        </w:rPr>
      </w:pPr>
      <w:r>
        <w:rPr>
          <w:lang w:val="en-US"/>
        </w:rPr>
        <w:t xml:space="preserve">After the assigned D&amp;I Grant period, the main applicant has to submit a full budget report. Remaining budget </w:t>
      </w:r>
      <w:proofErr w:type="gramStart"/>
      <w:r>
        <w:rPr>
          <w:lang w:val="en-US"/>
        </w:rPr>
        <w:t>should be credited</w:t>
      </w:r>
      <w:proofErr w:type="gramEnd"/>
      <w:r>
        <w:rPr>
          <w:lang w:val="en-US"/>
        </w:rPr>
        <w:t xml:space="preserve"> to </w:t>
      </w:r>
      <w:r w:rsidR="00787C26">
        <w:rPr>
          <w:lang w:val="en-US"/>
        </w:rPr>
        <w:t xml:space="preserve">the </w:t>
      </w:r>
      <w:r>
        <w:rPr>
          <w:lang w:val="en-US"/>
        </w:rPr>
        <w:t>D&amp;I</w:t>
      </w:r>
      <w:r w:rsidR="00787C26">
        <w:rPr>
          <w:lang w:val="en-US"/>
        </w:rPr>
        <w:t xml:space="preserve"> Office.</w:t>
      </w:r>
      <w:r>
        <w:rPr>
          <w:lang w:val="en-US"/>
        </w:rPr>
        <w:t xml:space="preserve"> </w:t>
      </w:r>
    </w:p>
    <w:p w:rsidR="004C2CFE" w:rsidRDefault="004C2CFE" w:rsidP="00F85B09">
      <w:pPr>
        <w:spacing w:after="0"/>
        <w:rPr>
          <w:lang w:val="en-US"/>
        </w:rPr>
      </w:pPr>
    </w:p>
    <w:p w:rsidR="004C2CFE" w:rsidRDefault="004C2CFE" w:rsidP="00F85B09">
      <w:pPr>
        <w:spacing w:after="0"/>
        <w:rPr>
          <w:lang w:val="en-US"/>
        </w:rPr>
      </w:pPr>
    </w:p>
    <w:p w:rsidR="004C2CFE" w:rsidRPr="00B34933" w:rsidRDefault="004C2CFE" w:rsidP="00F85B09">
      <w:pPr>
        <w:spacing w:after="0"/>
        <w:rPr>
          <w:lang w:val="en-GB"/>
        </w:rPr>
      </w:pPr>
    </w:p>
    <w:sectPr w:rsidR="004C2CFE" w:rsidRPr="00B34933">
      <w:headerReference w:type="default" r:id="rId7"/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84" w:rsidRDefault="00B31B84" w:rsidP="00787C26">
      <w:pPr>
        <w:spacing w:after="0" w:line="240" w:lineRule="auto"/>
      </w:pPr>
      <w:r>
        <w:separator/>
      </w:r>
    </w:p>
  </w:endnote>
  <w:endnote w:type="continuationSeparator" w:id="0">
    <w:p w:rsidR="00B31B84" w:rsidRDefault="00B31B84" w:rsidP="0078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84" w:rsidRDefault="00B31B84" w:rsidP="00787C26">
      <w:pPr>
        <w:spacing w:after="0" w:line="240" w:lineRule="auto"/>
      </w:pPr>
      <w:r>
        <w:separator/>
      </w:r>
    </w:p>
  </w:footnote>
  <w:footnote w:type="continuationSeparator" w:id="0">
    <w:p w:rsidR="00B31B84" w:rsidRDefault="00B31B84" w:rsidP="0078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26" w:rsidRDefault="00787C2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8DB6CB0" wp14:editId="04E57495">
          <wp:simplePos x="0" y="0"/>
          <wp:positionH relativeFrom="margin">
            <wp:align>right</wp:align>
          </wp:positionH>
          <wp:positionV relativeFrom="paragraph">
            <wp:posOffset>170246</wp:posOffset>
          </wp:positionV>
          <wp:extent cx="482656" cy="568325"/>
          <wp:effectExtent l="0" t="0" r="0" b="3175"/>
          <wp:wrapNone/>
          <wp:docPr id="1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656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7C26" w:rsidRDefault="00787C26">
    <w:pPr>
      <w:pStyle w:val="Header"/>
    </w:pPr>
    <w:r>
      <w:rPr>
        <w:noProof/>
        <w:lang w:eastAsia="nl-NL"/>
      </w:rPr>
      <w:drawing>
        <wp:inline distT="0" distB="0" distL="0" distR="0" wp14:anchorId="5A2662B9" wp14:editId="0DA63EBC">
          <wp:extent cx="1923487" cy="501650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2106" cy="51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1370"/>
    <w:multiLevelType w:val="multilevel"/>
    <w:tmpl w:val="D4DC73F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4E5A6C"/>
    <w:multiLevelType w:val="multilevel"/>
    <w:tmpl w:val="600AC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FE"/>
    <w:rsid w:val="004C2CFE"/>
    <w:rsid w:val="00787C26"/>
    <w:rsid w:val="00B31B84"/>
    <w:rsid w:val="00B34933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3F2E"/>
  <w15:docId w15:val="{87A79681-CC22-42DF-BD82-E9EB1BEC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A9B"/>
    <w:pPr>
      <w:spacing w:after="200" w:line="276" w:lineRule="auto"/>
    </w:pPr>
    <w:rPr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2A9B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040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F040B"/>
    <w:rPr>
      <w:sz w:val="20"/>
      <w:szCs w:val="20"/>
      <w:lang w:val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F040B"/>
    <w:rPr>
      <w:b/>
      <w:bCs/>
      <w:sz w:val="20"/>
      <w:szCs w:val="20"/>
      <w:lang w:val="nl-N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Tahoma" w:hAnsi="Calibri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2A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A9B"/>
    <w:pPr>
      <w:ind w:left="720"/>
      <w:contextualSpacing/>
    </w:pPr>
    <w:rPr>
      <w:rFonts w:ascii="Calibri" w:hAnsi="Calibri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F040B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F04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C26"/>
    <w:rPr>
      <w:sz w:val="22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78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C26"/>
    <w:rPr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constance.sommerey</dc:creator>
  <dc:description/>
  <cp:lastModifiedBy>Bekkers-Vos, Netty (BU)</cp:lastModifiedBy>
  <cp:revision>3</cp:revision>
  <dcterms:created xsi:type="dcterms:W3CDTF">2021-12-15T15:21:00Z</dcterms:created>
  <dcterms:modified xsi:type="dcterms:W3CDTF">2021-12-15T15:23:00Z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Universiteit Maastricht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