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FAA" w:rsidRDefault="00B17FA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pPr>
    </w:p>
    <w:tbl>
      <w:tblPr>
        <w:tblStyle w:val="a"/>
        <w:tblW w:w="0" w:type="auto"/>
        <w:tblLayout w:type="fixed"/>
        <w:tblLook w:val="0400" w:firstRow="0" w:lastRow="0" w:firstColumn="0" w:lastColumn="0" w:noHBand="0" w:noVBand="1"/>
      </w:tblPr>
      <w:tblGrid>
        <w:gridCol w:w="4251"/>
        <w:gridCol w:w="4680"/>
      </w:tblGrid>
      <w:tr w:rsidR="00B17FAA" w:rsidTr="000B324D">
        <w:trPr>
          <w:trHeight w:val="600"/>
        </w:trPr>
        <w:tc>
          <w:tcPr>
            <w:tcW w:w="8931" w:type="dxa"/>
            <w:gridSpan w:val="2"/>
            <w:tcBorders>
              <w:top w:val="nil"/>
              <w:left w:val="nil"/>
              <w:right w:val="nil"/>
            </w:tcBorders>
            <w:shd w:val="clear" w:color="auto" w:fill="002060"/>
            <w:tcMar>
              <w:top w:w="15" w:type="dxa"/>
              <w:left w:w="69" w:type="dxa"/>
              <w:bottom w:w="0" w:type="dxa"/>
              <w:right w:w="69" w:type="dxa"/>
            </w:tcMar>
          </w:tcPr>
          <w:p w:rsidR="00B17FAA" w:rsidRDefault="004E3336" w:rsidP="000B324D">
            <w:pPr>
              <w:spacing w:before="120" w:after="120" w:line="256" w:lineRule="auto"/>
              <w:jc w:val="center"/>
              <w:rPr>
                <w:b/>
                <w:color w:val="FFFFFF"/>
                <w:sz w:val="24"/>
                <w:szCs w:val="24"/>
              </w:rPr>
            </w:pPr>
            <w:r>
              <w:rPr>
                <w:b/>
                <w:color w:val="FFFFFF"/>
                <w:sz w:val="24"/>
                <w:szCs w:val="24"/>
              </w:rPr>
              <w:t>International symposium on</w:t>
            </w:r>
          </w:p>
          <w:p w:rsidR="00B17FAA" w:rsidRDefault="004E3336" w:rsidP="000B324D">
            <w:pPr>
              <w:spacing w:before="120" w:after="120" w:line="256" w:lineRule="auto"/>
              <w:jc w:val="center"/>
              <w:rPr>
                <w:rFonts w:ascii="Arial" w:eastAsia="Arial" w:hAnsi="Arial" w:cs="Arial"/>
                <w:b/>
                <w:sz w:val="36"/>
                <w:szCs w:val="36"/>
              </w:rPr>
            </w:pPr>
            <w:r>
              <w:rPr>
                <w:b/>
                <w:color w:val="FFFFFF"/>
                <w:sz w:val="24"/>
                <w:szCs w:val="24"/>
              </w:rPr>
              <w:t>CONSUMER AND DATA PRIVACY</w:t>
            </w:r>
          </w:p>
          <w:p w:rsidR="00B17FAA" w:rsidRDefault="004E3336" w:rsidP="000B324D">
            <w:pPr>
              <w:spacing w:after="120" w:line="256" w:lineRule="auto"/>
              <w:jc w:val="center"/>
              <w:rPr>
                <w:b/>
                <w:color w:val="FFFFFF"/>
                <w:sz w:val="24"/>
                <w:szCs w:val="24"/>
              </w:rPr>
            </w:pPr>
            <w:r>
              <w:rPr>
                <w:b/>
                <w:color w:val="FFFFFF"/>
                <w:sz w:val="24"/>
                <w:szCs w:val="24"/>
              </w:rPr>
              <w:t>The digital revolution of legal, social and economic interaction</w:t>
            </w:r>
          </w:p>
          <w:p w:rsidR="00B17FAA" w:rsidRDefault="004E3336" w:rsidP="000B324D">
            <w:pPr>
              <w:spacing w:after="120" w:line="256" w:lineRule="auto"/>
              <w:jc w:val="center"/>
              <w:rPr>
                <w:rFonts w:ascii="Arial" w:eastAsia="Arial" w:hAnsi="Arial" w:cs="Arial"/>
                <w:sz w:val="36"/>
                <w:szCs w:val="36"/>
              </w:rPr>
            </w:pPr>
            <w:r>
              <w:rPr>
                <w:color w:val="FFFFFF"/>
                <w:sz w:val="24"/>
                <w:szCs w:val="24"/>
              </w:rPr>
              <w:t>24 January 2020, Maastricht</w:t>
            </w:r>
            <w:r w:rsidR="000B324D">
              <w:rPr>
                <w:color w:val="FFFFFF"/>
                <w:sz w:val="24"/>
                <w:szCs w:val="24"/>
              </w:rPr>
              <w:t>. Location: TBC</w:t>
            </w:r>
          </w:p>
        </w:tc>
      </w:tr>
      <w:tr w:rsidR="00B17FAA" w:rsidTr="000B324D">
        <w:trPr>
          <w:trHeight w:val="620"/>
        </w:trPr>
        <w:tc>
          <w:tcPr>
            <w:tcW w:w="4251" w:type="dxa"/>
            <w:shd w:val="clear" w:color="auto" w:fill="auto"/>
            <w:tcMar>
              <w:top w:w="15" w:type="dxa"/>
              <w:left w:w="69" w:type="dxa"/>
              <w:bottom w:w="0" w:type="dxa"/>
              <w:right w:w="69" w:type="dxa"/>
            </w:tcMar>
          </w:tcPr>
          <w:p w:rsidR="00B17FAA" w:rsidRDefault="000B324D">
            <w:pPr>
              <w:spacing w:after="0" w:line="240" w:lineRule="auto"/>
            </w:pPr>
            <w:r>
              <w:rPr>
                <w:noProof/>
              </w:rPr>
              <w:t xml:space="preserve">  </w:t>
            </w:r>
          </w:p>
        </w:tc>
        <w:tc>
          <w:tcPr>
            <w:tcW w:w="4680" w:type="dxa"/>
            <w:shd w:val="clear" w:color="auto" w:fill="auto"/>
            <w:tcMar>
              <w:top w:w="15" w:type="dxa"/>
              <w:left w:w="69" w:type="dxa"/>
              <w:bottom w:w="0" w:type="dxa"/>
              <w:right w:w="69" w:type="dxa"/>
            </w:tcMar>
          </w:tcPr>
          <w:p w:rsidR="00B17FAA" w:rsidRDefault="00B17FAA">
            <w:pPr>
              <w:spacing w:after="0" w:line="240" w:lineRule="auto"/>
            </w:pPr>
          </w:p>
        </w:tc>
      </w:tr>
    </w:tbl>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61" w:after="161" w:line="240" w:lineRule="auto"/>
        <w:ind w:firstLine="0"/>
        <w:rPr>
          <w:color w:val="001F46"/>
          <w:sz w:val="40"/>
          <w:szCs w:val="40"/>
        </w:rPr>
      </w:pPr>
      <w:r>
        <w:rPr>
          <w:color w:val="001F46"/>
          <w:sz w:val="40"/>
          <w:szCs w:val="40"/>
        </w:rPr>
        <w:t>Call for Posters</w:t>
      </w:r>
    </w:p>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40" w:lineRule="auto"/>
        <w:ind w:firstLine="0"/>
        <w:jc w:val="both"/>
        <w:rPr>
          <w:color w:val="001F46"/>
        </w:rPr>
      </w:pPr>
      <w:r>
        <w:rPr>
          <w:color w:val="001F46"/>
        </w:rPr>
        <w:t>The international CONSUMER AND DATA PRIVACY symposium will hold a “Law &amp; Tech showroom” providing an opportunity for selected students and researchers to present posters demonstrating and discussing their recent work related to consumer and data privacy both from a technological (“technology for law”) and legal (“law for technology”) perspective. The symposium will be attended by world leading experts in consumer and data privacy, and will thus provide an opportunity for poster presenters to obtain high-quality feedback on their work, as well as making new contacts within the European consumer and data privacy research community.</w:t>
      </w:r>
    </w:p>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40" w:lineRule="auto"/>
        <w:ind w:firstLine="0"/>
        <w:jc w:val="both"/>
        <w:rPr>
          <w:color w:val="001F46"/>
        </w:rPr>
      </w:pPr>
      <w:r>
        <w:rPr>
          <w:color w:val="001F46"/>
        </w:rPr>
        <w:t>The goal of the poster session is to foster collaboration and to build research ties with consumer and data privacy students and researchers across Europe.</w:t>
      </w:r>
    </w:p>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64" w:line="240" w:lineRule="auto"/>
        <w:ind w:firstLine="0"/>
        <w:jc w:val="both"/>
        <w:rPr>
          <w:b/>
          <w:color w:val="001F46"/>
        </w:rPr>
      </w:pPr>
      <w:r>
        <w:rPr>
          <w:b/>
          <w:color w:val="001F46"/>
        </w:rPr>
        <w:t>Topics</w:t>
      </w:r>
    </w:p>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40" w:lineRule="auto"/>
        <w:ind w:firstLine="0"/>
        <w:jc w:val="both"/>
        <w:rPr>
          <w:color w:val="001F46"/>
        </w:rPr>
      </w:pPr>
      <w:r>
        <w:rPr>
          <w:color w:val="001F46"/>
        </w:rPr>
        <w:t>Posters are expected to stimulate interdisciplinary discussions of recent advances, new ideas, technologies, tools, methodologies and challenges in the field of consumer and data privacy. The list of topics includes (but is not limited to):</w:t>
      </w:r>
    </w:p>
    <w:p w:rsidR="00B17FAA" w:rsidRPr="009343A5" w:rsidRDefault="004E333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F243E" w:themeColor="text2" w:themeShade="80"/>
        </w:rPr>
      </w:pPr>
      <w:r w:rsidRPr="009343A5">
        <w:rPr>
          <w:color w:val="0F243E" w:themeColor="text2" w:themeShade="80"/>
        </w:rPr>
        <w:t>Unfair commercial practices towards consumers</w:t>
      </w:r>
    </w:p>
    <w:p w:rsidR="00B17FAA" w:rsidRPr="009343A5" w:rsidRDefault="004E333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F243E" w:themeColor="text2" w:themeShade="80"/>
        </w:rPr>
      </w:pPr>
      <w:r w:rsidRPr="009343A5">
        <w:rPr>
          <w:color w:val="0F243E" w:themeColor="text2" w:themeShade="80"/>
        </w:rPr>
        <w:t>Consumer law and consumer protection</w:t>
      </w:r>
    </w:p>
    <w:p w:rsidR="00B17FAA" w:rsidRPr="009343A5" w:rsidRDefault="004E333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F243E" w:themeColor="text2" w:themeShade="80"/>
        </w:rPr>
      </w:pPr>
      <w:r w:rsidRPr="009343A5">
        <w:rPr>
          <w:color w:val="0F243E" w:themeColor="text2" w:themeShade="80"/>
        </w:rPr>
        <w:t>The General Data Protection Regulation (GDPR)</w:t>
      </w:r>
    </w:p>
    <w:p w:rsidR="00B17FAA" w:rsidRPr="009343A5" w:rsidRDefault="004E333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F243E" w:themeColor="text2" w:themeShade="80"/>
        </w:rPr>
      </w:pPr>
      <w:r w:rsidRPr="009343A5">
        <w:rPr>
          <w:color w:val="0F243E" w:themeColor="text2" w:themeShade="80"/>
        </w:rPr>
        <w:t>Artificial Intelligence or Data Science tools to help protect consumer data privacy</w:t>
      </w:r>
    </w:p>
    <w:p w:rsidR="00B17FAA" w:rsidRPr="009343A5" w:rsidRDefault="004E333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F243E" w:themeColor="text2" w:themeShade="80"/>
        </w:rPr>
      </w:pPr>
      <w:r w:rsidRPr="009343A5">
        <w:rPr>
          <w:color w:val="0F243E" w:themeColor="text2" w:themeShade="80"/>
        </w:rPr>
        <w:t>Social, Legal, Ethical and Economic phenomena affecting consumers</w:t>
      </w:r>
    </w:p>
    <w:p w:rsidR="00B17FAA" w:rsidRPr="009343A5" w:rsidRDefault="004E333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F243E" w:themeColor="text2" w:themeShade="80"/>
        </w:rPr>
      </w:pPr>
      <w:r w:rsidRPr="009343A5">
        <w:rPr>
          <w:color w:val="0F243E" w:themeColor="text2" w:themeShade="80"/>
        </w:rPr>
        <w:t>Cryptography and secure communication solutions for consumer data</w:t>
      </w:r>
    </w:p>
    <w:p w:rsidR="00B17FAA" w:rsidRPr="009343A5" w:rsidRDefault="004E333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F243E" w:themeColor="text2" w:themeShade="80"/>
        </w:rPr>
      </w:pPr>
      <w:r w:rsidRPr="009343A5">
        <w:rPr>
          <w:color w:val="0F243E" w:themeColor="text2" w:themeShade="80"/>
        </w:rPr>
        <w:t>Data analytics tools for monitoring consumer behavior online, and for protecting consumers</w:t>
      </w:r>
    </w:p>
    <w:p w:rsidR="00B17FAA" w:rsidRPr="009343A5" w:rsidRDefault="004E333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F243E" w:themeColor="text2" w:themeShade="80"/>
        </w:rPr>
      </w:pPr>
      <w:r w:rsidRPr="009343A5">
        <w:rPr>
          <w:color w:val="0F243E" w:themeColor="text2" w:themeShade="80"/>
        </w:rPr>
        <w:t>Cybersecurity solutions for consumers</w:t>
      </w:r>
    </w:p>
    <w:p w:rsidR="00B17FAA" w:rsidRPr="009343A5" w:rsidRDefault="004E333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F243E" w:themeColor="text2" w:themeShade="80"/>
        </w:rPr>
      </w:pPr>
      <w:r w:rsidRPr="009343A5">
        <w:rPr>
          <w:color w:val="0F243E" w:themeColor="text2" w:themeShade="80"/>
        </w:rPr>
        <w:t>Data anonymization</w:t>
      </w:r>
    </w:p>
    <w:p w:rsidR="00B17FAA" w:rsidRPr="009343A5" w:rsidRDefault="004E333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F243E" w:themeColor="text2" w:themeShade="80"/>
        </w:rPr>
      </w:pPr>
      <w:r w:rsidRPr="009343A5">
        <w:rPr>
          <w:color w:val="0F243E" w:themeColor="text2" w:themeShade="80"/>
        </w:rPr>
        <w:t>Privacy-preserving data sharing methodologies</w:t>
      </w:r>
    </w:p>
    <w:p w:rsidR="00B17FAA" w:rsidRPr="009343A5" w:rsidRDefault="004E3336">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F243E" w:themeColor="text2" w:themeShade="80"/>
        </w:rPr>
      </w:pPr>
      <w:r w:rsidRPr="009343A5">
        <w:rPr>
          <w:color w:val="0F243E" w:themeColor="text2" w:themeShade="80"/>
        </w:rPr>
        <w:t>…</w:t>
      </w:r>
    </w:p>
    <w:p w:rsidR="00B17FAA" w:rsidRDefault="00B17FA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jc w:val="both"/>
        <w:rPr>
          <w:color w:val="001F46"/>
        </w:rPr>
      </w:pPr>
    </w:p>
    <w:p w:rsidR="00B17FAA" w:rsidRDefault="00B17FA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left="720"/>
        <w:jc w:val="both"/>
        <w:rPr>
          <w:color w:val="001F46"/>
        </w:rPr>
      </w:pPr>
    </w:p>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64" w:line="240" w:lineRule="auto"/>
        <w:ind w:firstLine="0"/>
        <w:jc w:val="both"/>
        <w:rPr>
          <w:b/>
          <w:color w:val="001F46"/>
        </w:rPr>
      </w:pPr>
      <w:r>
        <w:rPr>
          <w:b/>
          <w:color w:val="001F46"/>
        </w:rPr>
        <w:t>Poster abstract submissions</w:t>
      </w:r>
    </w:p>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40" w:lineRule="auto"/>
        <w:ind w:firstLine="0"/>
        <w:jc w:val="both"/>
        <w:rPr>
          <w:color w:val="001F46"/>
        </w:rPr>
      </w:pPr>
      <w:r>
        <w:rPr>
          <w:color w:val="001F46"/>
        </w:rPr>
        <w:t>Please email your name, position, affiliation, poster title and poster abstract (max. 350 words) to</w:t>
      </w:r>
      <w:r w:rsidR="009343A5">
        <w:rPr>
          <w:color w:val="001F46"/>
        </w:rPr>
        <w:t xml:space="preserve"> the </w:t>
      </w:r>
    </w:p>
    <w:p w:rsidR="009343A5" w:rsidRPr="009343A5" w:rsidRDefault="009343A5" w:rsidP="009343A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64" w:line="240" w:lineRule="auto"/>
        <w:ind w:firstLine="0"/>
        <w:jc w:val="both"/>
        <w:rPr>
          <w:color w:val="001F46"/>
        </w:rPr>
      </w:pPr>
      <w:r w:rsidRPr="009343A5">
        <w:rPr>
          <w:color w:val="001F46"/>
        </w:rPr>
        <w:lastRenderedPageBreak/>
        <w:t>Organizing Committee:</w:t>
      </w:r>
    </w:p>
    <w:p w:rsidR="009343A5" w:rsidRPr="009343A5" w:rsidRDefault="009343A5" w:rsidP="009343A5">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F243E" w:themeColor="text2" w:themeShade="80"/>
        </w:rPr>
      </w:pPr>
      <w:r w:rsidRPr="009343A5">
        <w:rPr>
          <w:color w:val="0F243E" w:themeColor="text2" w:themeShade="80"/>
        </w:rPr>
        <w:t>Marta Santos Silva (</w:t>
      </w:r>
      <w:hyperlink r:id="rId7">
        <w:r w:rsidRPr="009343A5">
          <w:rPr>
            <w:color w:val="0F243E" w:themeColor="text2" w:themeShade="80"/>
            <w:u w:val="single"/>
          </w:rPr>
          <w:t>m.santossilva@maastrichtuniversity.nl</w:t>
        </w:r>
      </w:hyperlink>
      <w:r w:rsidRPr="009343A5">
        <w:rPr>
          <w:color w:val="0F243E" w:themeColor="text2" w:themeShade="80"/>
        </w:rPr>
        <w:t>), Faculty of Law, Maastricht University </w:t>
      </w:r>
    </w:p>
    <w:p w:rsidR="009343A5" w:rsidRPr="009343A5" w:rsidRDefault="009343A5" w:rsidP="009343A5">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F243E" w:themeColor="text2" w:themeShade="80"/>
        </w:rPr>
      </w:pPr>
      <w:r w:rsidRPr="009343A5">
        <w:rPr>
          <w:color w:val="0F243E" w:themeColor="text2" w:themeShade="80"/>
        </w:rPr>
        <w:t>Kody Moodley (</w:t>
      </w:r>
      <w:hyperlink r:id="rId8">
        <w:r w:rsidRPr="009343A5">
          <w:rPr>
            <w:color w:val="0F243E" w:themeColor="text2" w:themeShade="80"/>
            <w:u w:val="single"/>
          </w:rPr>
          <w:t>kody.moodley@maastrichtuniversity.nl</w:t>
        </w:r>
      </w:hyperlink>
      <w:r w:rsidRPr="009343A5">
        <w:rPr>
          <w:color w:val="0F243E" w:themeColor="text2" w:themeShade="80"/>
        </w:rPr>
        <w:t>), Institute of Data Science &amp; Faculty of Law, Maastricht University</w:t>
      </w:r>
    </w:p>
    <w:p w:rsidR="009343A5" w:rsidRPr="009343A5" w:rsidRDefault="009343A5" w:rsidP="009343A5">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MuseoSans500" w:eastAsia="MuseoSans500" w:hAnsi="MuseoSans500" w:cs="MuseoSans500"/>
          <w:color w:val="0F243E" w:themeColor="text2" w:themeShade="80"/>
          <w:sz w:val="20"/>
          <w:szCs w:val="20"/>
        </w:rPr>
      </w:pPr>
      <w:r w:rsidRPr="009343A5">
        <w:rPr>
          <w:color w:val="0F243E" w:themeColor="text2" w:themeShade="80"/>
        </w:rPr>
        <w:t>Lisette Bongers (</w:t>
      </w:r>
      <w:hyperlink r:id="rId9">
        <w:r w:rsidRPr="009343A5">
          <w:rPr>
            <w:color w:val="0F243E" w:themeColor="text2" w:themeShade="80"/>
            <w:u w:val="single"/>
          </w:rPr>
          <w:t>l.bongers@maastrichtuniversity.nl</w:t>
        </w:r>
      </w:hyperlink>
      <w:r w:rsidRPr="009343A5">
        <w:rPr>
          <w:color w:val="0F243E" w:themeColor="text2" w:themeShade="80"/>
        </w:rPr>
        <w:t>), Faculty of Health, Medicine and Life Sciences &amp; Institute of Data Science, Maastricht University</w:t>
      </w:r>
    </w:p>
    <w:p w:rsidR="00B17FAA" w:rsidRDefault="009343A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40" w:lineRule="auto"/>
        <w:ind w:firstLine="0"/>
        <w:jc w:val="both"/>
        <w:rPr>
          <w:color w:val="001F46"/>
        </w:rPr>
      </w:pPr>
      <w:r>
        <w:rPr>
          <w:color w:val="001F46"/>
        </w:rPr>
        <w:br/>
      </w:r>
      <w:r w:rsidR="004E3336">
        <w:rPr>
          <w:color w:val="001F46"/>
        </w:rPr>
        <w:t xml:space="preserve">with the subject of the email titled “January 2020 symposium - poster abstract submission”. The deadline for all poster abstract submissions will be </w:t>
      </w:r>
      <w:r w:rsidR="004E3336">
        <w:rPr>
          <w:color w:val="001F46"/>
          <w:u w:val="single"/>
        </w:rPr>
        <w:t>20 December 2019</w:t>
      </w:r>
      <w:r w:rsidR="004E3336">
        <w:rPr>
          <w:color w:val="001F46"/>
        </w:rPr>
        <w:t>.</w:t>
      </w:r>
      <w:bookmarkStart w:id="0" w:name="_GoBack"/>
      <w:bookmarkEnd w:id="0"/>
    </w:p>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64" w:line="240" w:lineRule="auto"/>
        <w:ind w:firstLine="0"/>
        <w:jc w:val="both"/>
        <w:rPr>
          <w:b/>
          <w:color w:val="001F46"/>
        </w:rPr>
      </w:pPr>
      <w:r>
        <w:rPr>
          <w:b/>
          <w:color w:val="001F46"/>
        </w:rPr>
        <w:t>Reviewing Process</w:t>
      </w:r>
    </w:p>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40" w:lineRule="auto"/>
        <w:ind w:firstLine="0"/>
        <w:jc w:val="both"/>
        <w:rPr>
          <w:color w:val="0000FF"/>
          <w:u w:val="single"/>
        </w:rPr>
      </w:pPr>
      <w:r>
        <w:rPr>
          <w:color w:val="001F46"/>
        </w:rPr>
        <w:t xml:space="preserve">The most relevant and original poster abstracts will be selected by the organizing committee for presentation at the symposium, subject to available display space. </w:t>
      </w:r>
      <w:r>
        <w:rPr>
          <w:color w:val="001F46"/>
          <w:u w:val="single"/>
        </w:rPr>
        <w:t>Authors of the selected poster abstracts will be notified via email by 8 January 2020</w:t>
      </w:r>
      <w:r>
        <w:rPr>
          <w:color w:val="0000FF"/>
          <w:u w:val="single"/>
        </w:rPr>
        <w:t>.</w:t>
      </w:r>
    </w:p>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64" w:line="240" w:lineRule="auto"/>
        <w:ind w:firstLine="0"/>
        <w:jc w:val="both"/>
        <w:rPr>
          <w:b/>
          <w:color w:val="001F46"/>
        </w:rPr>
      </w:pPr>
      <w:r>
        <w:rPr>
          <w:b/>
          <w:color w:val="001F46"/>
        </w:rPr>
        <w:t>Important Dates</w:t>
      </w:r>
    </w:p>
    <w:p w:rsidR="00B17FAA" w:rsidRDefault="004E3336">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0" w:line="240" w:lineRule="auto"/>
        <w:jc w:val="both"/>
        <w:rPr>
          <w:color w:val="001F46"/>
        </w:rPr>
      </w:pPr>
      <w:r>
        <w:rPr>
          <w:color w:val="001F46"/>
        </w:rPr>
        <w:t xml:space="preserve">Poster abstract submission deadline: </w:t>
      </w:r>
      <w:r>
        <w:rPr>
          <w:b/>
          <w:color w:val="001F46"/>
        </w:rPr>
        <w:t>Friday, 20 December 2019</w:t>
      </w:r>
    </w:p>
    <w:p w:rsidR="00B17FAA" w:rsidRDefault="004E3336">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01F46"/>
        </w:rPr>
      </w:pPr>
      <w:r>
        <w:rPr>
          <w:color w:val="001F46"/>
        </w:rPr>
        <w:t xml:space="preserve">Notification of acceptance: </w:t>
      </w:r>
      <w:r>
        <w:rPr>
          <w:b/>
          <w:color w:val="001F46"/>
        </w:rPr>
        <w:t>Wednesday, 8 January 2020</w:t>
      </w:r>
    </w:p>
    <w:p w:rsidR="00B17FAA" w:rsidRDefault="004E3336">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01F46"/>
        </w:rPr>
      </w:pPr>
      <w:r>
        <w:rPr>
          <w:color w:val="001F46"/>
        </w:rPr>
        <w:t xml:space="preserve">Poster’s due for printing: </w:t>
      </w:r>
      <w:r>
        <w:rPr>
          <w:b/>
          <w:color w:val="001F46"/>
        </w:rPr>
        <w:t xml:space="preserve">Friday, 17 January 2020 </w:t>
      </w:r>
    </w:p>
    <w:p w:rsidR="00B17FAA" w:rsidRDefault="004E3336">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80" w:line="240" w:lineRule="auto"/>
        <w:jc w:val="both"/>
        <w:rPr>
          <w:color w:val="001F46"/>
        </w:rPr>
      </w:pPr>
      <w:r>
        <w:rPr>
          <w:color w:val="001F46"/>
        </w:rPr>
        <w:t>Symposium:</w:t>
      </w:r>
      <w:r>
        <w:rPr>
          <w:b/>
          <w:color w:val="001F46"/>
        </w:rPr>
        <w:t xml:space="preserve"> Friday, 24 January 2020</w:t>
      </w:r>
    </w:p>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64" w:line="240" w:lineRule="auto"/>
        <w:ind w:firstLine="0"/>
        <w:jc w:val="both"/>
        <w:rPr>
          <w:b/>
          <w:color w:val="001F46"/>
        </w:rPr>
      </w:pPr>
      <w:r>
        <w:rPr>
          <w:b/>
          <w:color w:val="001F46"/>
        </w:rPr>
        <w:t>Accepted poster submissions</w:t>
      </w:r>
    </w:p>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40" w:lineRule="auto"/>
        <w:ind w:firstLine="0"/>
        <w:jc w:val="both"/>
        <w:rPr>
          <w:color w:val="001F46"/>
        </w:rPr>
      </w:pPr>
      <w:r>
        <w:rPr>
          <w:color w:val="001F46"/>
        </w:rPr>
        <w:t xml:space="preserve">Once authors have received notification of acceptance of their poster abstract, they should prepare their posters in PDF format with </w:t>
      </w:r>
      <w:r>
        <w:rPr>
          <w:b/>
          <w:color w:val="001F46"/>
        </w:rPr>
        <w:t>portrait</w:t>
      </w:r>
      <w:r>
        <w:rPr>
          <w:color w:val="001F46"/>
        </w:rPr>
        <w:t xml:space="preserve"> orientation (</w:t>
      </w:r>
      <w:r>
        <w:rPr>
          <w:b/>
          <w:color w:val="001F46"/>
        </w:rPr>
        <w:t>landscape</w:t>
      </w:r>
      <w:r>
        <w:rPr>
          <w:color w:val="001F46"/>
        </w:rPr>
        <w:t xml:space="preserve"> orientation is not permitted). Please ensure the fonts</w:t>
      </w:r>
      <w:r w:rsidR="00293DA0">
        <w:rPr>
          <w:color w:val="001F46"/>
        </w:rPr>
        <w:t>, image resolution</w:t>
      </w:r>
      <w:r>
        <w:rPr>
          <w:color w:val="001F46"/>
        </w:rPr>
        <w:t xml:space="preserve"> and formatting are appropriate for us to be able to print them to A1 (594mm x 841mm) or A0 (841mm x 1189mm) </w:t>
      </w:r>
      <w:r>
        <w:rPr>
          <w:b/>
          <w:color w:val="001F46"/>
        </w:rPr>
        <w:t>portrait</w:t>
      </w:r>
      <w:r>
        <w:rPr>
          <w:color w:val="001F46"/>
        </w:rPr>
        <w:t xml:space="preserve"> size.</w:t>
      </w:r>
    </w:p>
    <w:p w:rsidR="00EB48A3"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40" w:lineRule="auto"/>
        <w:ind w:firstLine="0"/>
        <w:jc w:val="both"/>
        <w:rPr>
          <w:color w:val="001F46"/>
        </w:rPr>
      </w:pPr>
      <w:r>
        <w:rPr>
          <w:color w:val="001F46"/>
        </w:rPr>
        <w:t xml:space="preserve">All poster submissions have to be submitted electronically in </w:t>
      </w:r>
      <w:r>
        <w:rPr>
          <w:b/>
          <w:color w:val="001F46"/>
        </w:rPr>
        <w:t>PDF</w:t>
      </w:r>
      <w:r>
        <w:rPr>
          <w:color w:val="001F46"/>
        </w:rPr>
        <w:t xml:space="preserve"> format</w:t>
      </w:r>
      <w:r w:rsidR="00EB48A3">
        <w:rPr>
          <w:color w:val="001F46"/>
        </w:rPr>
        <w:t>, together with your name, position, and affiliation,</w:t>
      </w:r>
      <w:r>
        <w:rPr>
          <w:color w:val="001F46"/>
        </w:rPr>
        <w:t xml:space="preserve"> to</w:t>
      </w:r>
      <w:r w:rsidR="00EB48A3">
        <w:rPr>
          <w:color w:val="001F46"/>
        </w:rPr>
        <w:t>:</w:t>
      </w:r>
    </w:p>
    <w:p w:rsidR="00EB48A3" w:rsidRDefault="00EB48A3" w:rsidP="00EB48A3">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pPr>
      <w:r>
        <w:rPr>
          <w:color w:val="001F46"/>
        </w:rPr>
        <w:t>Kody Moodley (</w:t>
      </w:r>
      <w:hyperlink r:id="rId10">
        <w:r>
          <w:rPr>
            <w:color w:val="0000FF"/>
            <w:u w:val="single"/>
          </w:rPr>
          <w:t>kody.moodley@maastrichtuniversity.nl</w:t>
        </w:r>
      </w:hyperlink>
      <w:r>
        <w:rPr>
          <w:color w:val="001F46"/>
        </w:rPr>
        <w:t>)</w:t>
      </w:r>
    </w:p>
    <w:p w:rsidR="00EB48A3" w:rsidRPr="00EB48A3" w:rsidRDefault="00EB48A3" w:rsidP="00EB48A3">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color w:val="001F46"/>
          <w:lang w:val="fr-FR"/>
        </w:rPr>
      </w:pPr>
      <w:r w:rsidRPr="00EB48A3">
        <w:rPr>
          <w:color w:val="001F46"/>
          <w:lang w:val="fr-FR"/>
        </w:rPr>
        <w:t>Lisette Bongers (</w:t>
      </w:r>
      <w:hyperlink r:id="rId11">
        <w:r w:rsidRPr="00EB48A3">
          <w:rPr>
            <w:color w:val="0000FF"/>
            <w:u w:val="single"/>
            <w:lang w:val="fr-FR"/>
          </w:rPr>
          <w:t>l.bongers@maastrichtuniversity.nl</w:t>
        </w:r>
      </w:hyperlink>
      <w:r w:rsidRPr="00EB48A3">
        <w:rPr>
          <w:color w:val="001F46"/>
          <w:lang w:val="fr-FR"/>
        </w:rPr>
        <w:t>)</w:t>
      </w:r>
    </w:p>
    <w:p w:rsidR="00EB48A3" w:rsidRPr="00EB48A3" w:rsidRDefault="00EB48A3" w:rsidP="00EB48A3">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40" w:lineRule="auto"/>
        <w:jc w:val="both"/>
        <w:rPr>
          <w:color w:val="001F46"/>
          <w:lang w:val="es-ES"/>
        </w:rPr>
      </w:pPr>
      <w:r w:rsidRPr="00EB48A3">
        <w:rPr>
          <w:color w:val="001F46"/>
          <w:lang w:val="es-ES"/>
        </w:rPr>
        <w:t>Marta Santos Silva (</w:t>
      </w:r>
      <w:hyperlink r:id="rId12">
        <w:r w:rsidRPr="00EB48A3">
          <w:rPr>
            <w:color w:val="0000FF"/>
            <w:u w:val="single"/>
            <w:lang w:val="es-ES"/>
          </w:rPr>
          <w:t>m.santossilva@maastrichtuniversity.nl</w:t>
        </w:r>
      </w:hyperlink>
      <w:r w:rsidRPr="00EB48A3">
        <w:rPr>
          <w:color w:val="001F46"/>
          <w:lang w:val="es-ES"/>
        </w:rPr>
        <w:t>)</w:t>
      </w:r>
    </w:p>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40" w:lineRule="auto"/>
        <w:ind w:firstLine="0"/>
        <w:jc w:val="both"/>
        <w:rPr>
          <w:color w:val="001F46"/>
        </w:rPr>
      </w:pPr>
      <w:r>
        <w:rPr>
          <w:color w:val="001F46"/>
        </w:rPr>
        <w:t xml:space="preserve">with the subject of the email titled “January 2020 symposium - poster PDF submission”. </w:t>
      </w:r>
      <w:r w:rsidRPr="00EB48A3">
        <w:rPr>
          <w:color w:val="001F46"/>
        </w:rPr>
        <w:t xml:space="preserve">The deadline for all poster PDF submissions will be </w:t>
      </w:r>
      <w:r w:rsidRPr="00EB48A3">
        <w:rPr>
          <w:color w:val="001F46"/>
          <w:u w:val="single"/>
        </w:rPr>
        <w:t>Friday 17 January 2020</w:t>
      </w:r>
      <w:r w:rsidRPr="00EB48A3">
        <w:rPr>
          <w:color w:val="001F46"/>
        </w:rPr>
        <w:t>.</w:t>
      </w:r>
    </w:p>
    <w:p w:rsidR="00B17FAA" w:rsidRDefault="004E33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40" w:lineRule="auto"/>
        <w:ind w:firstLine="0"/>
        <w:jc w:val="both"/>
        <w:rPr>
          <w:color w:val="001F46"/>
        </w:rPr>
      </w:pPr>
      <w:r>
        <w:rPr>
          <w:color w:val="001F46"/>
        </w:rPr>
        <w:t xml:space="preserve">Accepted posters will be displayed in a special “Law &amp; Tech showroom” session during the symposium. At least </w:t>
      </w:r>
      <w:r>
        <w:rPr>
          <w:b/>
          <w:color w:val="001F46"/>
        </w:rPr>
        <w:t>one of the authors of each accepted poster must attend</w:t>
      </w:r>
      <w:r>
        <w:rPr>
          <w:color w:val="001F46"/>
        </w:rPr>
        <w:t xml:space="preserve"> the poster session to present and discuss their work with attendees.</w:t>
      </w:r>
    </w:p>
    <w:sectPr w:rsidR="00B17FAA">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24D" w:rsidRDefault="000B324D" w:rsidP="000B324D">
      <w:pPr>
        <w:spacing w:after="0" w:line="240" w:lineRule="auto"/>
      </w:pPr>
      <w:r>
        <w:separator/>
      </w:r>
    </w:p>
  </w:endnote>
  <w:endnote w:type="continuationSeparator" w:id="0">
    <w:p w:rsidR="000B324D" w:rsidRDefault="000B324D" w:rsidP="000B3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useoSans50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4D" w:rsidRDefault="000B324D" w:rsidP="000B324D">
    <w:pPr>
      <w:pStyle w:val="Footer"/>
      <w:ind w:firstLine="0"/>
    </w:pPr>
    <w:r>
      <w:tab/>
    </w:r>
    <w:r>
      <w:rPr>
        <w:noProof/>
      </w:rPr>
      <w:drawing>
        <wp:inline distT="0" distB="0" distL="0" distR="0" wp14:anchorId="0097FE74" wp14:editId="620967E7">
          <wp:extent cx="2884170" cy="5086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bsidie gevers.png"/>
                  <pic:cNvPicPr/>
                </pic:nvPicPr>
                <pic:blipFill>
                  <a:blip r:embed="rId1">
                    <a:extLst>
                      <a:ext uri="{28A0092B-C50C-407E-A947-70E740481C1C}">
                        <a14:useLocalDpi xmlns:a14="http://schemas.microsoft.com/office/drawing/2010/main" val="0"/>
                      </a:ext>
                    </a:extLst>
                  </a:blip>
                  <a:stretch>
                    <a:fillRect/>
                  </a:stretch>
                </pic:blipFill>
                <pic:spPr>
                  <a:xfrm>
                    <a:off x="0" y="0"/>
                    <a:ext cx="2884170" cy="5086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24D" w:rsidRDefault="000B324D" w:rsidP="000B324D">
      <w:pPr>
        <w:spacing w:after="0" w:line="240" w:lineRule="auto"/>
      </w:pPr>
      <w:r>
        <w:separator/>
      </w:r>
    </w:p>
  </w:footnote>
  <w:footnote w:type="continuationSeparator" w:id="0">
    <w:p w:rsidR="000B324D" w:rsidRDefault="000B324D" w:rsidP="000B3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4D" w:rsidRDefault="000B324D" w:rsidP="000B324D">
    <w:pPr>
      <w:pStyle w:val="Header"/>
      <w:jc w:val="right"/>
    </w:pPr>
    <w:r>
      <w:rPr>
        <w:noProof/>
      </w:rPr>
      <w:drawing>
        <wp:inline distT="0" distB="0" distL="0" distR="0">
          <wp:extent cx="1456913" cy="356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astricht_university.png"/>
                  <pic:cNvPicPr/>
                </pic:nvPicPr>
                <pic:blipFill>
                  <a:blip r:embed="rId1">
                    <a:extLst>
                      <a:ext uri="{28A0092B-C50C-407E-A947-70E740481C1C}">
                        <a14:useLocalDpi xmlns:a14="http://schemas.microsoft.com/office/drawing/2010/main" val="0"/>
                      </a:ext>
                    </a:extLst>
                  </a:blip>
                  <a:stretch>
                    <a:fillRect/>
                  </a:stretch>
                </pic:blipFill>
                <pic:spPr>
                  <a:xfrm>
                    <a:off x="0" y="0"/>
                    <a:ext cx="1506902" cy="3689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77034"/>
    <w:multiLevelType w:val="multilevel"/>
    <w:tmpl w:val="98767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6CE0659"/>
    <w:multiLevelType w:val="multilevel"/>
    <w:tmpl w:val="71566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4F2B7C"/>
    <w:multiLevelType w:val="multilevel"/>
    <w:tmpl w:val="BFD4B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B209AA"/>
    <w:multiLevelType w:val="multilevel"/>
    <w:tmpl w:val="02D610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AA"/>
    <w:rsid w:val="000B324D"/>
    <w:rsid w:val="00293DA0"/>
    <w:rsid w:val="004E3336"/>
    <w:rsid w:val="009343A5"/>
    <w:rsid w:val="00B17FAA"/>
    <w:rsid w:val="00EB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830E3E"/>
  <w15:docId w15:val="{4C011CBC-29C5-4C02-B1DC-F55B4F90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one" w:sz="0" w:space="0" w:color="000000"/>
        <w:left w:val="none" w:sz="0" w:space="0" w:color="000000"/>
        <w:bottom w:val="none" w:sz="0" w:space="0" w:color="000000"/>
        <w:right w:val="none" w:sz="0" w:space="0" w:color="000000"/>
        <w:between w:val="none" w:sz="0" w:space="0" w:color="000000"/>
      </w:pBdr>
      <w:spacing w:line="240" w:lineRule="auto"/>
      <w:ind w:firstLine="0"/>
      <w:outlineLvl w:val="0"/>
    </w:pPr>
    <w:rPr>
      <w:rFonts w:ascii="Times New Roman" w:eastAsia="Times New Roman" w:hAnsi="Times New Roman" w:cs="Times New Roman"/>
      <w:b/>
      <w:sz w:val="48"/>
      <w:szCs w:val="48"/>
    </w:rPr>
  </w:style>
  <w:style w:type="paragraph" w:styleId="Heading2">
    <w:name w:val="heading 2"/>
    <w:basedOn w:val="Normal"/>
    <w:next w:val="Normal"/>
    <w:pPr>
      <w:pBdr>
        <w:top w:val="none" w:sz="0" w:space="0" w:color="000000"/>
        <w:left w:val="none" w:sz="0" w:space="0" w:color="000000"/>
        <w:bottom w:val="none" w:sz="0" w:space="0" w:color="000000"/>
        <w:right w:val="none" w:sz="0" w:space="0" w:color="000000"/>
        <w:between w:val="none" w:sz="0" w:space="0" w:color="000000"/>
      </w:pBdr>
      <w:spacing w:line="240" w:lineRule="auto"/>
      <w:ind w:firstLine="0"/>
      <w:outlineLvl w:val="1"/>
    </w:pPr>
    <w:rPr>
      <w:rFonts w:ascii="Times New Roman" w:eastAsia="Times New Roman" w:hAnsi="Times New Roman" w:cs="Times New Roman"/>
      <w:b/>
      <w:sz w:val="36"/>
      <w:szCs w:val="36"/>
    </w:rPr>
  </w:style>
  <w:style w:type="paragraph" w:styleId="Heading3">
    <w:name w:val="heading 3"/>
    <w:basedOn w:val="Normal"/>
    <w:next w:val="Normal"/>
    <w:pPr>
      <w:pBdr>
        <w:top w:val="none" w:sz="0" w:space="0" w:color="000000"/>
        <w:left w:val="none" w:sz="0" w:space="0" w:color="000000"/>
        <w:bottom w:val="none" w:sz="0" w:space="0" w:color="000000"/>
        <w:right w:val="none" w:sz="0" w:space="0" w:color="000000"/>
        <w:between w:val="none" w:sz="0" w:space="0" w:color="000000"/>
      </w:pBdr>
      <w:spacing w:line="240" w:lineRule="auto"/>
      <w:ind w:firstLine="0"/>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0B3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24D"/>
  </w:style>
  <w:style w:type="paragraph" w:styleId="Footer">
    <w:name w:val="footer"/>
    <w:basedOn w:val="Normal"/>
    <w:link w:val="FooterChar"/>
    <w:uiPriority w:val="99"/>
    <w:unhideWhenUsed/>
    <w:rsid w:val="000B3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ody.moodley@maastrichtuniversity.n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santossilva@maastrichtuniversity.nl" TargetMode="External"/><Relationship Id="rId12" Type="http://schemas.openxmlformats.org/officeDocument/2006/relationships/hyperlink" Target="mailto:m.santossilva@maastrichtuniversity.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bongers@maastrichtuniversity.n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ody.moodley@maastrichtuniversity.nl" TargetMode="External"/><Relationship Id="rId4" Type="http://schemas.openxmlformats.org/officeDocument/2006/relationships/webSettings" Target="webSettings.xml"/><Relationship Id="rId9" Type="http://schemas.openxmlformats.org/officeDocument/2006/relationships/hyperlink" Target="mailto:l.bongers@maastrichtuniversity.n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Moodley, Kody (IDS)</dc:creator>
  <cp:lastModifiedBy>Meertens, Chantal (FACBURFDR)</cp:lastModifiedBy>
  <cp:revision>3</cp:revision>
  <dcterms:created xsi:type="dcterms:W3CDTF">2019-12-09T09:05:00Z</dcterms:created>
  <dcterms:modified xsi:type="dcterms:W3CDTF">2019-12-09T09:43:00Z</dcterms:modified>
</cp:coreProperties>
</file>